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A/1497/2002 vom 30. Juni 2004</w:t>
      </w:r>
    </w:p>
    <w:p>
      <w:r>
        <w:t>GE Cour de justice, 2004-06-30, FR</w:t>
      </w:r>
    </w:p>
    <w:p>
      <w:r>
        <w:rPr>
          <w:b/>
        </w:rPr>
        <w:t xml:space="preserve">Quelle: </w:t>
      </w:r>
      <w:r>
        <w:t>https://mcp.opencaselaw.ch/entscheid/ge_gerichte_A_1497_2002</w:t>
      </w:r>
    </w:p>
    <w:p>
      <w:r>
        <w:t>FR: GE_GERICHTE A/1497/2002 du 30 juin 2004</w:t>
      </w:r>
    </w:p>
    <w:p>
      <w:r>
        <w:t>IT: GE_GERICHTE A/1497/2002 del 30 giugno 2004</w:t>
      </w:r>
    </w:p>
    <w:p>
      <w:pPr>
        <w:pStyle w:val="Heading2"/>
      </w:pPr>
      <w:r>
        <w:t>Regeste</w:t>
      </w:r>
    </w:p>
    <w:p>
      <w:r>
        <w:t>AI(ASSURANCE); ENQUÊTE(EN GÉNÉRAL) ; EMPÊCHEMENT(EN GÉNÉRAL) ; ABSENCE D'ACTIVITÉ LUCRATIVE ; TENUE DU MÉNAGE ; FEMME AU FOYER ; LIMITATION(EN GÉNÉRAL) ; ÉVALUATION DE L'INVALIDITÉ | LAI.4; LAI.28; RAI.27</w:t>
      </w:r>
    </w:p>
    <w:p>
      <w:pPr>
        <w:pStyle w:val="Heading2"/>
      </w:pPr>
      <w:r>
        <w:t>Erwägungen</w:t>
      </w:r>
    </w:p>
    <w:p>
      <w:r>
        <w:rPr>
          <w:b/>
        </w:rPr>
        <w:t>E. 5</w:t>
      </w:r>
    </w:p>
    <w:p>
      <w:r>
        <w:t>Dès lors, par décision du 6 septembre 2002, l’OCAI a refusé d’octroyer une rente d’invalidité à l’assurée, le taux d’invalidité de 22,75% retenu dans le cadre de l’activité ménagère étant insuffisant pour ouvrir droit à une rente.</w:t>
      </w:r>
    </w:p>
    <w:p>
      <w:r>
        <w:rPr>
          <w:b/>
        </w:rPr>
        <w:t>E. 6</w:t>
      </w:r>
    </w:p>
    <w:p>
      <w:r>
        <w:t>Le 4 octobre 2002, Madame S__________ a recouru contre la décision de l’OCAI. Elle a fait valoir que son invalidité aurait dû être calculée selon la méthode dite mixte ; elle a également contesté l’appréciation ainsi que le pourcentage des empêchements retenus dans le cadre de l’enquête économique sur le ménage. Elle a par conséquent sollicité une nouvelle enquête ménagère, soulignant que toute activité lui était impossible, tant sur le plan professionnel que sur le plan ménager, en raison de l’importance de ses douleurs et de son état dépressif allant en augmentant.</w:t>
      </w:r>
    </w:p>
    <w:p>
      <w:r>
        <w:rPr>
          <w:b/>
        </w:rPr>
        <w:t>E. 7</w:t>
      </w:r>
    </w:p>
    <w:p>
      <w:r>
        <w:t>Dans son préavis du 17 décembre 2002, l’OCAI a précisé que la méthode spécifique d’évaluation de l’invalidité avait été appliquée au vu du statut de ménagère de la recourant depuis 1992 et il a conclu au rejet de l’ensemble des conclusions de la recourante ainsi qu’au maintien de sa décision. Par courrier du 10 janvier 2003, la recourante a contesté les taux d’invalidité retenus sur le plan ménager et a persisté dans ses conclusions tendant à l’octroi d’une rente AI. Dans ses observations du 20 janvier 2003, l’OCAI a maintenu sa position.</w:t>
      </w:r>
    </w:p>
    <w:p>
      <w:r>
        <w:rPr>
          <w:b/>
        </w:rPr>
        <w:t>E. 8</w:t>
      </w:r>
    </w:p>
    <w:p>
      <w:r>
        <w:t>Lors de la comparution personnelle des parties qui s’est déroulée le 13 janvier 2004, la recourante a déclaré que c’était en raison de ses douleurs qu’elle avait cessé toute activité professionnelle. L’OCAI a, quant à lui, souligné qu’il n’avait pas retenu la méthode mixte d’évaluation car, selon le dossier médical, l’atteinte à la santé datait de 1995 seulement, époque à laquelle l’intéressée avait un statut de ménagère. La recourante a sollicité un délai pour produire de nouvelles pièces relatives à la période antérieure à 1995.</w:t>
      </w:r>
    </w:p>
    <w:p>
      <w:r>
        <w:rPr>
          <w:b/>
        </w:rPr>
        <w:t>E. 9</w:t>
      </w:r>
    </w:p>
    <w:p>
      <w:r>
        <w:t>Divers documents médicaux ont été ainsi produits, notamment deux attestations émanant du Dr B__________ selon lesquelles, de 1985 à 1996, les différentes affections dont la recourante a souffert durant cette période n’avaient à sa connaissance pas eu de conséquences importantes sur sa capacité de travail, mais que n’ayant lui-même pas revu sa patiente depuis 7 ans, seul le médecin-traitant actuel pouvait s’exprimer valablement à ce sujet. L’OCAI a, pour sa part, produit un avis médical établi le 23 mars 2004 par le Dr C__________ du Service médical régional, selon lequel aucun des problèmes de santé relevés par le Dr B__________ n’avait été susceptible d’entraîner une incapacité de travail substantielle antérieurement à 1995. L’OCAI a maintenu l’application de la méthode spécifique à l’appréciation du cas de la recourante.</w:t>
      </w:r>
    </w:p>
    <w:p>
      <w:r>
        <w:rPr>
          <w:b/>
        </w:rPr>
        <w:t>E. 10</w:t>
      </w:r>
    </w:p>
    <w:p>
      <w:r>
        <w:t>Lors d’une nouvelle comparution personnelle, le 30 mars 2004, la recourante a dit ne plus contester la méthode employée et s’en rapporter à justice quant à l’enquête ménagère. L’OCAI a maintenu sa position. Sur quoi, l’affaire a été gardée à juger. EN DROIT 1 . a)La loi genevoise sur l’organisation judiciaire (LOJ) a été modifiée et a institué, dès le 1 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 ss ; Habscheid, droit judiciaire privé suisse, 1981 p. 313 et ss.). - l’autorité de la chose jugée ne vaut quoiqu’il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2. 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d’assurance-invalidité (cf. art. 56 V LOJ). Sa compétence pour juger du cas d’espèce est ainsi établie. 3. La LPGA entrée en vigueur le 1 er janvier 2003, a entraîné de nombreuses modifications dans le domaine de l’assurance 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er LPGA), le présente litige sera en conséquence examiné à la lumière des dispositions de la loi fédérale sur l’assurance-invalidité du 19 juin 1959 (ci-après LAI) et du règlement de l’assurance-invalidité du 17 janvier 1961 (ci-après RAI) en vigueur jusqu’au 31 décembre 2002. 4. Interjeté le 4 octobre 2002, contre la décision de l’OCAI du 6 septembre 2002, le recours est recevable, conformément aux articles 69 LAI et 84 de la loi fédérale sur l'assurance vieillesse et survivants (LAVS). 5. Aux termes de l’art. 4 al. 1 LAI, l’invalidité se définit comme la diminution de la capacité de gain permanente ou de longue durée, qui résulte d’une atteinte à la santé physique ou mentale, provenant d’une infirmité congénitale, d’une maladie ou d’un accident. En vertu de l’art. 28 al. 1 LAI, l’assurée à droit à une rente entière si elle est invalide à 66,2/3% au moins, à une ½ rente si elle est invalide à 50% au moins ou à ¼ de rente si elle invalide à 40% au moins. Conformément à l’art. 28 al. 2 LAI, en vue de l’évaluation de l’invalidité d’une personne, il convient de comparer le revenu du travail que l’invalide pourrait obtenir en exerçant une activité qu’on peut raisonnablement attendre de lui au revenu qu’il aurait pu obtenir sans invalidité. L’art. 27 RAI, quant à lui, prescrit que l’invalidité des personnes qui n’exercent pas d’activité lucrative au sens de l’art. 5 al. 1 LAI est estimée en fonction de l’empêchement d’accomplir les travaux habituels ou l’activité usuelle dans le ménage et l’éducation des enfants (méthode dite spécifique). En cas d’activité à temps partiel, il y a lieu de fixer l’invalidité pour cette part par comparaison des revenus selon l’art. 28 al. 2 LAI et l’invalidité pour la part consacrée aux travaux habituels par comparaison des activités selon l’art. 27 RAI (méthode dite mixte, cf. art. 27 bis al. 1 RAI). 6. En l’espèce, l’invalidité doit être évaluée selon la méthode spécifique susdécrite. En effet, il sied de rappeler que c’est depuis 1995 que la recourante a été réellement atteinte dans sa santé et qu’à cette époque, elle avait un statut de ménagère. Ce fait a été au demeurant admis par la recourante lors de la comparution personnelle du 30 mars 2004. 7. Aux fins d’établir le taux d’invalidité admissible dans le cadre de l’accomplissement des travaux habituels, l’OCAI a procédé à une enquête économique sur le ménage. Ladite enquête a été établie en conformité des Directives contenues dans la circulaire concernant l’invalidité et l’impotence (ch. 3090 ss CIIAI) et de la jurisprudence fédérale. En particulier, lors de cette enquête, il a été procédé à la classification et évaluation des travaux ménagers par référence aux sept postes indiqués au chiffre 2095 CIIAI, en fixant leur importance respective en pour cent, dans une fourchette déterminée, compte tenu des données du cas concret ; l’empêchement subi pour chaque poste a ensuite été fixé en fonction des déclarations de l’intéressée ou des observations faites sur place. Afin de tenir compte des observations formulées par la recourante et de la pondération préconisée par le TFA (cf. RCC 1986 p.247), le Tribunal de céans a réexaminé point par point la pondération des tâches, mais l’estimation des empêchements retenus par l’enquêtrice a été confirmée vu ce qui précède. Les chiffres suivants ont été retenus (figurent entre parenthèses le chiffre retenu par l’enquêtrice) : Description des empêchements dus à l’invalidité Pondération du champ d’activité Empêchement Invalidité 1. conduite du ménage 5% (2%) 0% 0% 2. alimentation 40% (47%) 25% 10% 3. entretien du logement 15% (20%) 20% 3% 4. emplettes et courses div. 10% (10%) 20% 2% 5. lessives et entretien des vêtements. 15% (0%) 20% 3% 6. soins aux enfants et autres membres de la famille. 0% (0%) 0% 0% 7. divers. 15% (1%) 100% 15% Total  invalidité : 33% S’agissant du poste « divers », il a été tenu compte, en effet, non seulement de l’activité relative à l’entretien de l’église du village, mais aussi de la confection de bons repas, confitures, etc.., plaisirs auxquels la recourante a dû renoncer. Vu la modification apportée à la pondération des champs d’activité, le Tribunal constate que l’estimation des empêchements subis par la recourante dans ses activités habituelles est légèrement plus élevée et qu’il convient d’admettre un degré d’invalidité de 33% en lieu et place du taux de 23% retenu par l’OCAI. Cependant, ce degré d’invalidité n’ouvre par droit à une rente AI, de sorte que, mal fondé, le recours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