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A/1496/2024 vom 11. November 2024</w:t>
      </w:r>
    </w:p>
    <w:p>
      <w:r>
        <w:t>GE Cour de justice, 2024-11-11, FR</w:t>
      </w:r>
    </w:p>
    <w:p>
      <w:r>
        <w:rPr>
          <w:b/>
        </w:rPr>
        <w:t xml:space="preserve">Quelle: </w:t>
      </w:r>
      <w:r>
        <w:t>https://mcp.opencaselaw.ch/entscheid/ge_gerichte_A_1496_2024</w:t>
      </w:r>
    </w:p>
    <w:p>
      <w:r>
        <w:t>FR: GE_GERICHTE A/1496/2024 du 11 novembre 2024</w:t>
      </w:r>
    </w:p>
    <w:p>
      <w:r>
        <w:t>IT: GE_GERICHTE A/1496/2024 del 11 novembre 2024</w:t>
      </w:r>
    </w:p>
    <w:p>
      <w:pPr>
        <w:pStyle w:val="Heading2"/>
      </w:pPr>
      <w:r>
        <w:t>Regeste</w:t>
      </w:r>
    </w:p>
    <w:p>
      <w:r>
        <w:t>ÉPIDÉMIE;VIRUS(MALADIE);LOI COVID-19;CAS DE RIGUEUR;AIDE FINANCIÈRE;RESTITUTION(EN GÉNÉRAL);CHIFFRE D'AFFAIRES;COMPTABILITÉ;ANNEXE(COMPTE DE PROFITS ET PERTES);BILAN(EN GÉNÉRAL);ÉGALITÉ DE TRAITEMENT | Recours d'une société contre une décision de restitution de l'aide financière qui lui a été octroyée dans le contexte de la pandémie de Covid 19. Dans ses comptes pour l'année 2020, la fiduciaire de la contribuable a indiqué un montant représentant un correctif relatif à l'exercice précédent. Dès lors que la recourante a transmis ses comptes annuels audités, présumés exacts, à l'intimé et aux autorités fiscales, il ne lui est pas loisible, pour des raisons de bonne foi, de sécurité juridique et d'égalité de traitement notamment, de les modifier a posteriori quand bien même elle estime que la méthode choisie par le département pour calculer son chiffre d'affaires ne convient pas. De plus, la prise en consiération de ce montant pour l'année en question tient compte au mieux de la situation financière réelle de l'entreprise. L'autorité était par conséquent fondée à réclamer à la recourante le montant perçu indûment. Recours rejeté. | Cst.29.al2; LPA.61; Covid-19.12; Ordonnance COVID-19.5.al1; Ordonnance COVID-19.8a.al1; Ordonnance COVID-19.8d.al1; Ordonnance COVID-19.3.al3; aLAFE-2021.1.al1; LAFE-2021.1.al1; LAFE-2021.1.al2; LAFE-2021.3; LAFE-2021.4.al1; LAFE-2021.7; LAFE-2021.8; LAFE-2021.9.al1.leta; LAFE-2021.10.al1; LAFE-2021.17.al1; LAFE-2021.17.al2; RAFE-2021.8.al1; RAFE-2021.9.al1; RAFE-2021.10; RAFE-2021.14; RAFE-2021.15; RAFE-2021.24.al1.letb; RAFE-2021.25; RAFE-2021.29.al1; RAFE-2021.29.al3; CO.957a; CO.957A.al1; CO.958.al2; CO.959b; CO.727.al1; Cst.8; aLAFE-2021.23; LAFE-2021.24; LIFD.58.al1.letb; LIFD.58.al1.letC</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La recourante sollicite l’audition d’un partenaire d’affaires et de son ancien associé.</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142 III 433 consid. 4.3.2 ; 141 III 28 consid. 3.2.4). En outre, il n’implique pas le droit d’être entendu oralement, ni celui d’obtenir l’audition de témoins (ATF 134 I 140 consid. 5.3 ; 130 II 425 consid. 2.1).</w:t>
      </w:r>
    </w:p>
    <w:p>
      <w:r>
        <w:rPr>
          <w:b/>
        </w:rPr>
        <w:t>E. 2.2</w:t>
      </w:r>
    </w:p>
    <w:p>
      <w:r>
        <w:t>En l’espèce, la recourante a pu faire valoir devant la chambre de céans tous ses arguments et produire toute pièce utile. Elle n’explique pas quels éléments supplémentaires qu’elle n’aurait pu apporter par écrit l’audition de ces personnes serait susceptible d’apporter. En outre, comme il sera expliqué, tant la question de savoir quand les prestations ont été effectuées que le traitement du cas concernant son associé ne sont pas pertinents pour l’issue du litige. Au vu de ces éléments, la chambre de céans considère que le dossier est complet et est en état d’être jugé sans qu’il soit nécessaire de procéder à l’audition de ces personnes. Il n’y sera donc pas donné suite.</w:t>
      </w:r>
    </w:p>
    <w:p>
      <w:r>
        <w:rPr>
          <w:b/>
        </w:rPr>
        <w:t>E. 3</w:t>
      </w:r>
    </w:p>
    <w:p>
      <w:r>
        <w:t>L’objet du litige porte sur la conformité au droit de la décision sur réclamation du 3 avril 2024 confirmant la décision du 14 décembre 2023 qui demande la restitution de l’indemnisation « cas de rigueur » indûment perçue pour l’année 2020 pour un total de CHF 42'511.80.</w:t>
      </w:r>
    </w:p>
    <w:p>
      <w:r>
        <w:rPr>
          <w:b/>
        </w:rPr>
        <w:t>E. 4</w:t>
      </w:r>
    </w:p>
    <w:p>
      <w:r>
        <w:t>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w:t>
      </w:r>
    </w:p>
    <w:p>
      <w:r>
        <w:rPr>
          <w:b/>
        </w:rPr>
        <w:t>E. 5</w:t>
      </w:r>
    </w:p>
    <w:p>
      <w:r>
        <w:t>La recourante conteste le chiffre d’affaires pour l’année 2020 pris en compte par l’intimé.</w:t>
      </w:r>
    </w:p>
    <w:p>
      <w:r>
        <w:rPr>
          <w:b/>
        </w:rPr>
        <w:t>E. 5.1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(ATF 132 II 257 consid. 3.2 ; 131 II 13 consid. 3.4 ; ATA/666/2021 du 29 juin 2021 consid. 5c et les arrêts cités).</w:t>
      </w:r>
    </w:p>
    <w:p>
      <w:r>
        <w:rPr>
          <w:b/>
        </w:rPr>
        <w:t>E. 5.2</w:t>
      </w:r>
    </w:p>
    <w:p>
      <w:r>
        <w:t>Le 25 septembre 2020, l’Assemblée fédérale a adopté la loi fédérale sur les bases légales des ordonnances du Conseil fédéral visant à surmonter l’épidémie de Covid-19 (loi Covid-19 - RS 818.102). L’art. 12 de la loi Covid-19, dans sa teneur au 2 septembre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(al. 1 bis ). Se fondant sur l’art. 12 al. 4 de la loi Covid-19, le Conseil fédéral a édicté l’ordonnance concernant les mesures pour les cas de rigueur destinées aux entreprises en lien avec l’épidémie de Covid-19 du 25 novembre 2020 (ordonnance Covid-19 cas de rigueur ; RS - 951.262). Dans sa teneur au 19 juin 2021, l’entreprise doit prouver au canton que son chiffre d’affaires 2020 est inférieur à 60% du chiffre d’affaires moyen des exercices 2018 et 2019 en raison des mesures ordonnées par les autorités aux fins de la lutte contre l’épidémie de Covid-19 (art. 5 al. 1 ordonnance Covid-19 cas de rigueur). Les contributions non remboursables accordées aux entreprises dont le chiffre d’affaires annuel atteint CHF 5'000'000.- au plus s’élèvent au maximum à 20% du chiffre d’affaires moyen des exercices 2018 et 2019 et au maximum à CHF 1'000'000.- par entreprise (art. 8a al. 1 ordonnance Covid-19 cas de rigueur). Une entreprise ne peut recevoir lesdites aides que dans les limites du plafond correspondant (art. 8d al. 1 ordonnance Covid‑19 cas de rigueur). Le chiffre d’affaires au sens de ladite ordonnance se réfère au compte individuel de l’entreprise requérante (art. 3 al. 3 ordonnance Covid-19 cas de rigueur).</w:t>
      </w:r>
    </w:p>
    <w:p>
      <w:r>
        <w:rPr>
          <w:b/>
        </w:rPr>
        <w:t>E. 5.3</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 Ladite loi a été abrogée par la loi 12938 du 30 avril 2021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vise à atténuer les pertes subies par les entreprises dont les activités ont été interdites ou réduites en raison de la nature même de leurs activités, entre le 1 er janvier 2021 et le 31 décembre 2021 (art. 1 al. 2 LAFE-2021). 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L’art. 4 al. 1 LAFE-2021 a trait aux entreprises bénéficiaires, soit notamment celles qui, en raison des mesures prises par la Confédération ou le canton pour endiguer l’épidémie de Covid-19, doivent cesser totalement ou partiellement leur activité selon les dispositions de l’ordonnance Covid-19 (let. a), dont la baisse du chiffre d’affaires enregistré se situe entre 25% et 40% et qui ne couvrent pas leurs coûts fixes (indemnisation cantonale ; let. c). Dans les deux cas, l’indemnité maximale par entreprise ne dépasse pas la somme totale de CHF 1'000'000.- (art. 7 et 8 LAFE‑2021). Selon l’art. 9 al. 1 let. a LAFE-2021, l’État de Genève peut octroyer sans participation financière de la Confédération des aides en faveur des entreprises dont la baisse de CA enregistrée se situe entre 25% et 40% du chiffre d’affaires moyen des exercices 2018 et 2019. Cette indemnité cantonale, par entreprise et pour la période du 1 er janvier 2020 au 30 juin 2021 ne dépasse pas la somme totale de CHF 1'000'000.- et 20% du chiffre d’affaires (art. 10 al. 1 LAFE-2021). La participation financière indûment perçue doit être restituée sur décision du département (art. 17 al. 1 LAFE-2021). Est indûment perçue la participation financière utilisée à d’autres fins que la couverture des coûts fixes tels que précisés à l'art. 3 (art. 17 al. 2 LAFE-2021).</w:t>
      </w:r>
    </w:p>
    <w:p>
      <w:r>
        <w:rPr>
          <w:b/>
        </w:rPr>
        <w:t>E. 5.4</w:t>
      </w:r>
    </w:p>
    <w:p>
      <w:r>
        <w:t>Le RAFE-2021 est entré en vigueur le 5 mai 2021. Il a été modifié le 7 juillet 2021 (ROLG 2021, p. 466). Les dispositions pertinentes à la résolution du cas d’espèce n’ont toutefois pas été substantiellement modifiées à cette occasion. Le cas des entreprises avec un chiffre d’affaires moyen 2018-2019 de CHF 5'000'000.- au plus est réglé au chapitre 1 du Titre II du RAFE-2021. Celles dont l’activité était totalement ou partiellement interdite peuvent prétendre à une aide financière si elles avaient dû cesser totalement ou partiellement leur activité pendant au moins 40 jours entre le 1 er novembre 2020 et le 30 juin 2021 (art. 8 al. 1 RAFE-2021). Le montant de l’indemnité correspond aux coûts fixes 2020 admis calculés à compter du 1 er janvier 2021 au prorata du nombre de jours pendant lesquels l’activité était totalement ou partiellement interdite (art. 9 al. 1 RAFE-2021). L’indemnité maximale par entreprise pour l’année 2021 ne dépasse pas la somme totale de CHF 1'000'000.- et 20% du chiffre d’affaires (art. 10 RAFE-2021). Les entreprises dont la baisse du chiffre d’affaires, calculée sur une période de douze mois comprise entre le 1 er janvier 2020 et le 30 juin 2021, se situe entre 25% et 40% du chiffre d’affaires moyen déterminé selon les modalités de l’ordonnance Covid-19 cas de rigueur peuvent prétendre à l’aide financière cantonale (art. 14 RAFE-2021). Selon l’art. 15 RAFE‑2021, le montant de l’indemnité pour l’année 2020 correspond à la différence entre les coûts totaux, hors impôts et taxes, et le chiffre d’affaires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 Les entreprises doivent porter sans délai à la connaissance du département tout événement qui rendrait exigible le remboursement de l'aide (art. 29 al. 1 RAFE‑2021). Les montants indûment perçus, conformément à l'art. 17 LAFE‑2021 doivent être restitués (art. 29 al. 3 RAFE-2021).</w:t>
      </w:r>
    </w:p>
    <w:p>
      <w:r>
        <w:rPr>
          <w:b/>
        </w:rPr>
        <w:t>E. 5.5</w:t>
      </w:r>
    </w:p>
    <w:p>
      <w:r>
        <w:t>La comptabilité commerciale des entreprises est indispensable à l’État pour connaître les bases d’imposition et effectuer les taxations appropriées. Parfois, les règles fiscales, qui reflètent les préoccupations de prélèvements publics, divergeront des règles comptables, qui se concentrent sur la gestion de l’entreprise. Des ajustements seront alors nécessaires en fonction du public visé par les états financiers (Rémy BUCHELER, Abrégé de droit comptable, 2015, p. 5 n. 4). Selon l’art. 957a al. 1 de la loi fédérale du 30 mars 1911, complétant le Code civil suisse (CO, Code des obligations - RS 220), la comptabilité constitue la base de l’établissement des comptes. Elle enregistre les transactions et les autres faits nécessaires à la présentation du patrimoine, de la situation financière et des résultats de l’entreprise (situation économique). Les comptes sont présentés dans le rapport de gestion. Ce dernier contient les comptes annuels individuels (comptes annuels) qui se composent du bilan, du compte de résultat et de l’annexe. Les dispositions applicables aux grandes entreprises et aux groupes sont réservées (art. 958 al. 2 CO). 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figurer les produits nets des ventes de biens et de prestations de services (al. 2 ch. 1 ; al. 3 ch. 1) et, séparément, notamment les charges et produits financiers (al. 2 ch. 7 ; al. 3 ch. 4) ; les charges et produits hors exploitation (al. 2 ch. 8 ; al. 3 ch. 5), ainsi que les charges et produits exceptionnels, uniques ou hors période (al. 2 ch. 9 ; al. 3 ch. 6). Les charges et les produits exceptionnels, visés aux al. 2 ch. 9 et 3 ch. 6, se réfèrent à des événements inhabituels, généralement uniques ou qui ne sont pas directement liés à la marche des affaires (Message concernant la révision du code des obligations du 21 décembre 2007, FF 2008 1407, 1526). Compte tenu de ce critère, ce poste comprend à la fois ce qui ne fait pas partie de l’activité ordinaire de l’entreprise et à la fois ce qui ne se produit généralement qu’une fois, même si cela survient dans la sphère des activités ordinaires de l’entreprise (Henry TORRIONE/Aurélien BARAKAT, in Commentaire romand, CO II, 2017, n. 14 ad art. 959b CO).</w:t>
      </w:r>
    </w:p>
    <w:p>
      <w:r>
        <w:rPr>
          <w:b/>
        </w:rPr>
        <w:t>E. 5.6</w:t>
      </w:r>
    </w:p>
    <w:p>
      <w:r>
        <w:t>La notion de chiffre d’affaires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chiffre d’affaires s’entend hors TVA. Il ne comprend pas uniquement le chiffre d’affaires résultant des ventes et des prestations de services, notion régulièrement mentionnées dans la loi. En effet, les sources de revenus sont bien plus larges. Selon la chambre fiduciaire, « le chiffre d’affaires englobe en principe tous les revenus du compte de résultat. En font partie tous les produits d’exploitation, produits hors exploitation et produits exceptionnels, notamment les produits d’intérêts, de dividendes et de licences. Dans le cas de produits exceptionnels, il convient le cas échéant de procéder à une différenciation ». Tous les revenus tirés par l’entreprise de ses activités, quelles qu’elles soient, sont ainsi pertinents pour l’appréciation de sa situation économique (Rémy BUCHELER, op. cit. , p. 56 et 57).</w:t>
      </w:r>
    </w:p>
    <w:p>
      <w:r>
        <w:rPr>
          <w:b/>
        </w:rPr>
        <w:t>E. 5.7</w:t>
      </w:r>
    </w:p>
    <w:p>
      <w:r>
        <w:t>Les sociétés énumérées à l’art 727 al. 1 CO sont tenues de soumettre leurs comptes annuels et, le cas échéant, leurs comptes consolidés au contrôle ordinaire d’un organe de révision. Sont notamment concernées les sociétés dites d’une certaine importance économique (art. 727 al. 1 ch. 2 CO). Les critères permettant de les identifier sont le total du bilan, le chiffre d’affaires et la moyenne annuelle des emplois à plein temps. Le chiffre d’affaires équivaut au chiffre d’affaires net, c’est-à-dire le chiffre d’affaires brut, soit la somme de l’ensemble des produits, moins les rabais, escomptes et retours. Il sera tenu compte de tous les produits, aussi bien des produits d’exploitation ou financiers que des produits extraordinaires (Henry PETER/Emmanuel GENEQUAND/Francesca CAVADANI, in Commentaire romand, CO II, 2017, n. 22 et 24a ad art. 727 CO).</w:t>
      </w:r>
    </w:p>
    <w:p>
      <w:r>
        <w:rPr>
          <w:b/>
        </w:rPr>
        <w:t>E. 5.8</w:t>
      </w:r>
    </w:p>
    <w:p>
      <w:r>
        <w:t>Dans un arrêt récent, la chambre de céans a retenu, au sujet de la notion de chiffre d’affaires et de sa détermination, que, vu l’absence de définition de celui-ci dans les lois et ordonnances applicables en matière de Covid‑19, le fait que les aides pour cas de rigueur n’avaient pas pour but de combler les lacunes résultant de débiteurs insolvables d’avant la pandémie, les bases légales applicables à la comptabilité commerciale et la référence à d’autres lois le définissant, l’autorité pouvait, à juste titre, considérer que le chiffre d’affaires résultait de la somme des ventes de biens ou de services d’une entreprise au cours d’un exercice comptable. Dans le cas tranché, où le chiffre d’affaires moyen 2018-2019 de l’entreprise sollicitant l’aide financière était supérieur à CHF 5'000'000.-, l’autorité s’était valablement tenue à l’addition des encaissements, soit aux produits des ventes réalisées par la recourante, sans prendre en compte la variation de la provision pour débiteurs douteux dans son chiffre d’affaires en 2019 ni la provision pour débiteurs douteux et les pertes sur débiteurs en 2020. Cette manière de faire, en ce qu’elle permettait d’identifier les seules pertes en lien avec les mesures adoptées pour lutter contre l’épidémie, n’était pas choquante et permettait d’appréhender l’activité réelle de l’entreprise dans le respect de l’art. 3 al. 3 LAFE‑2021 ( ATA/474/2023 du 24 avril 2023 consid. 9). Ultérieurement, la chambre de céans a retenu, en se fondant sur l’aLAFE-2021, que l’autorité avait valablement relevé que la loi exigeait que deux conditions cumulatives fussent remplies pour percevoir l’aide « cas de rigueur », soit un certain taux de baisse du chiffre d’affaires et l’absence de couverture des coûts fixes de la société. L’abandon de créance de l’actionnaire, reporté dans les comptes définitifs de résultat de la recourante au 31 décembre 2020, lui permettant de générer un bénéfice, devait être pris en compte dans le chiffre d’affaires.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 ATA/1073/2023 du 28 septembre 2023 consid. 2.4). Récemment, la chambre de céans a retenu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 département dans le cadre de sa demande d’aide (art. 24 al. 1 let. b et 25 RAFE‑2021; ATA/1076/2023 du 2 octobre 2023 consid. 2.7). Plus récemment encore, la chambre administrative a estimé qu’il était acceptable que le département inclue dans le chiffre d’affaires la dissolution des provisions. En effet, dans la mesure où la loi ne définissait pas la notion de chiffre d’affaires, le département disposait d’un pouvoir d’appréciation pour le déterminer. Son approche trouvait à ce titre un ancrage juridique et n’était donc pas sans pertinence, dans la mesure où elle était fondée sur les règles relatives aux art. 727 al. 1 ch. 2 CO et 957 al. 2 ch. 1 CO. Quand bien même ces deux dispositions traitaient de cas particuliers, soit la détermination du type de révision et l’allégement de tenir une comptabilité, la définition « élargie » du chiffre d’affaires telle qu’elle en ressortait et telle qu’adoptée par le département permettait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 ATA/429/2024 du 26 mars 2024 consid. 7 qui fait l’objet d’un recours au Tribunal fédéral). La prise en compte de la dissolution d’une provision dans le calcul du chiffre d’affaires a été encore confirmée dernièrement ( ATA/524/2024 du 29 avril 2024 consid. 4.10 qui fait l’objet d’un recours au Tribunal fédéral).</w:t>
      </w:r>
    </w:p>
    <w:p>
      <w:r>
        <w:rPr>
          <w:b/>
        </w:rPr>
        <w:t>E. 5.9</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de la loi fédérale sur l’impôt fédéral direct du 14 décembre 1990 (LIFD - RS 642.11)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ATA/259/2024 du 27 février 2024 consid. 4.7 et l’arrêt cité ; Pierre‑Marie GLAUSER, Apports et impôt sur le bénéfice, vol. 2, 2005, pp. 96-97).</w:t>
      </w:r>
    </w:p>
    <w:p>
      <w:r>
        <w:rPr>
          <w:b/>
        </w:rPr>
        <w:t>E. 5.10</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ATA/543/2023 du 23 mai 2023 consid. 3.5 et les références citées).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Le fait même qu’une loi, au moins au sens matériel, encadre l’activité administrative contribue déjà à assurer l’égalité de traitement entre administrés. Cependant, la loi ne saurait prédéterminer de façon absolue et précise toute action de l’administration et celle-ci dispose dans de très nombreuses situations d’un pouvoir d’appréciation plus ou moins large.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Une certaine schématisation et simplification est inhérente à la loi, mais peut également être voulue par le législateur. Elle peut se justifier pour des raisons de praticabilité (en particulier d’aptitude à l’exécution) et de sécurité juridique. Aussi la jurisprudence du Tribunal fédéral accepte-t-elle des solutions schématiques dans divers domaines, notamment en matière de prélèvements ( ATA/168/2024 du 6 février 2024 consid. 6.1 et les références citées).</w:t>
      </w:r>
    </w:p>
    <w:p>
      <w:r>
        <w:rPr>
          <w:b/>
        </w:rPr>
        <w:t>E. 5.11</w:t>
      </w:r>
    </w:p>
    <w:p>
      <w:r>
        <w:t>En l’espèce, il est constant que la recourante a réalisé des chiffres d’affaires inférieurs à CHF 5'000'000.- pour les périodes 2019 à 2021. Elle a été priée de restituer un montant de CHF 42'511.80 (CHF 28'426.30 + CHF 14'085.50) à titre d’indemnités perçues en trop. L’intimé a en effet estimé que le recul du chiffre d’affaires de l’intéressée en 2020, de 1.26% – ou 5.4% si on devait suivre la recourante qui demande que seul le montant de CHF 7'617.92 soit affecté au chiffre d’affaires 2020 – par rapport au chiffre d’affaires de référence annualisé, n’atteignait pas le taux de 25%. Pour procéder au calcul du chiffre d’affaires 2020, l’intimé a pris en compte la correction du chiffre d’affaires indiqué par la recourante en 2020 comme faisant partie de son chiffre d’affaires pour cette année-là. Cette correction ressortait de ses comptes annuels au 31 décembre 2020, établis le 26 août 2021, soit CHF 85'509.61 (« correction exercice précédent [net TVA] »). Cette façon de procéder est conforme aux dispositions légales précitées ainsi qu’à la jurisprudence de la chambre administrative, selon laquelle le chiffre d’affaires doit être pris en compte de façon élargie. L’intimé, qui bénéficie d’un large pouvoir d’appréciation, était donc fondé à tenir compte du montant de CHF 85'509.61, qui correspond à un produit, dans le chiffre d’affaires de 2020. De plus, au vu de la situation d’urgence à laquelle l’État a été confronté (voir les art. 23 loi aLAFE-2021 et 24 LAFE‑2021 déclarant l’urgence) et compte tenu du nombre considérable de demandes d’aides déposées (10'000) et à traiter dans un laps de temps restreint, il n’était pas envisageable d’exiger de l’intimé qu’il analyse au cas par cas chaque demande, en particulier pour chaque poste indiqué d’éventuelles corrections comptables, dans une optique de retrancher, le cas échéant, certains montants du chiffre d’affaires pris en compte. Une certaine schématisation apparaissait ainsi nécessaire et inévitable. Partant, l’intimé pouvait, sans abuser de son pouvoir d’appréciation, se fonder sur les comptes annuels transmis par les sociétés requérantes et considérer que l’ensemble des résultats d’exploitation y figurant devait être pris en compte dans la détermination du chiffre d’affaires. Cette approche se justifie également par le fait qu’elle permet de tenir compte au mieux de la situation financière réelle de chaque entreprise. Cette solution s’impose d’autant plus que l’intimé soutient dans la décision attaquée – sans être contredit sur ce point par la recourante – qu’il ressort des taxations pour l’année 2020 de la recourante que celle-ci n’a fait l’objet d’aucune contestation auprès de l’AFC-GE en vue d’une correction liée au résultat fiscal et plus particulièrement au traitement apporté à la « correction exercice précédent (net TVA) ». Dès lors, elle doit se laisser opposer les choix comptables qu’elle a opérés et ne saurait de bonne foi contredire les comptes qu’elle a établis et présentés aux autorités fiscales – à propos de l’erreur de sa fiduciaire voir par exemple ATA/1208/2024 du 15 octobre 2024 consid. 2.4 qui pose le principe que la recourante doit supporter les inconvénients d’une telle intervention –. Il convient à cet égard de relever que la référence à sa taxation est pertinente, puisque le droit fiscal tient compte au mieux de la réelle situation patrimoniale d’une société. Malgré la demande de la recourante, il n’est pas possible de soustraire la correction comptable enregistrée en 2020 – concernant des produits (des commissions de croutage) – du chiffre d’affaires 2020 pour les replacer dans l’exercice durant lequel a été déployée l’activité générant ces produits (en 2019). En effet, dès lors que la recourante a transmis ses comptes annuels audités, présumés exacts, à l’intimé et aux autorités fiscales, il ne lui est pas loisible, pour des raisons de bonne foi, de sécurité juridique et d’égalité de traitement notamment, de les modifier a posteriori , dans le cadre de la présente procédure, quand bien même elle estime que la méthode choisie par le département pour calculer son chiffre d’affaires ne convient pas. La chambre de céans n’entrera donc pas en matière sur ces considérations. C’est également pour ce motif qu’il n’est pas nécessaire d’entendre l’un de ses partenaires d’affaires ou son ancien associé. Enfin, par rapport à son ancien associé qui n’aurait pas fait l’objet d’une demande de remboursement, force est de constater que, comme vu ci-dessus, la recourante n’a pas – contrairement à son ancien associé – « provisionné » le montant en question dans son chiffre d’affaires 2019 mais l’a indiqué dans ses documents comptables pour l’année 2020. Les deux situations n’apparaissent donc pas en tous points identiques, et ce sur des éléments centraux, ce qui rend une différence de traitement acceptable. Mal fondés, les griefs seront écartés.</w:t>
      </w:r>
    </w:p>
    <w:p>
      <w:r>
        <w:rPr>
          <w:b/>
        </w:rPr>
        <w:t>E. 6</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