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A/1495/2023 vom 4. September 2024</w:t>
      </w:r>
    </w:p>
    <w:p>
      <w:r>
        <w:t>GE Cour de justice, 2024-09-04, FR</w:t>
      </w:r>
    </w:p>
    <w:p>
      <w:r>
        <w:rPr>
          <w:b/>
        </w:rPr>
        <w:t xml:space="preserve">Quelle: </w:t>
      </w:r>
      <w:r>
        <w:t>https://mcp.opencaselaw.ch/entscheid/ge_gerichte_A_1495_2023</w:t>
      </w:r>
    </w:p>
    <w:p>
      <w:r>
        <w:t>FR: GE_GERICHTE A/1495/2023 du 4 septembre 2024</w:t>
      </w:r>
    </w:p>
    <w:p>
      <w:r>
        <w:t>IT: GE_GERICHTE A/1495/2023 del 4 settembre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de la recourante à une rente entière d’invalidité du 1 er janvier au 31 décembre 2020 et à une rente de 65% (recte : à un trois quarts de rente) dès le 1 er janvier 2021, sans limitation de délai, étant rappelé que l’intimé a octroyé à la recourante une rente entière du 1 er janvier 2018 au 31 décembre 2019.</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l'assurance-invalidité susmentionné, raison pour laquelle aucune question de droit intertemporel ne se pose à cet égard (arrêt du Tribunal fédéral 8C_644/2022 du 8 février 2023 consid. 2.2.2).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 En l’occurrence, la décision querellée a été rendue postérieurement au 1 er janvier 2022, mais le droit de la recourante à une rente d’invalidité est né le 1 er août 2016 et les modifications des circonstances sont survenues avant cette date, conformément à l’art. 88a RAI (prise en compte de changements de revenus, la dernière fois pour l’année 2021). Par conséquent, les dispositions applicables seront citées dans leur teneur en vigueur jusqu’au 31 décembre 2021.</w:t>
      </w:r>
    </w:p>
    <w:p>
      <w:r>
        <w:rPr>
          <w:b/>
        </w:rPr>
        <w:t>E. 4.1</w:t>
      </w:r>
    </w:p>
    <w:p>
      <w:r>
        <w:t>Pour la période allant du 1 er janvier au 31 décembre 2020, et dès le 1 er janvier 2021, la recourante reproche à l’intimé d’avoir pris en compte au titre de revenu sans invalidité CHF 80'541.-, en se bornant à indexer le salaire qu’elle avait reçu de B______. Elle estime que le revenu sans invalidité devait être fixé à CHF 97'500.-, en tenant compte du fait qu’il aurait nécessairement été réadapté en fonction de l’expérience acquise au fil des ans, étant donné qu’elle avait 32 ans lorsqu’elle avait dû interrompre son activité à plein temps pour des raisons de santé. Elle se prévaut du salaire qu’elle avait gagné pour son activité pour la C______ et du salaire de son mari, qui a la même formation qu’elle. Selon l’intimé, il est notoire que l’évolution des salaires était particulièrement stagnante, ce qui était confirmé par les statistiques fédérales qui recensaient une évolution même nominale inférieure à 1% depuis plus de dix ans (site internet cité page 3 de la réponse). Ainsi les estimations produites par la recourante étaient mal fondées sur ce point. C’était ainsi à juste titre que l’intimé avait actualisé le revenu réel de la recourante avant l’atteinte à la santé incapacitante avec l’évolution statistique des salaires. En ce qui concernait la C______, P______, en nom propre, indiquait que la recourante avait un taux horaire (recte : journalier) de CHF 635.- correspondant à un salaire (recte : taux) annuel de CHF 149'860.-. La légitimité de celle-ci à se prononcer sur la question était entièrement contestée, les pouvoirs de représentation de la C______ ayant été radiés en 2019 (selon la publication du 22 juillet 2019 au registre du commerce, qui indiquait que celle-ci ne travaillait plus pour la société depuis avril 2019). Par ailleurs, cette estimation était parfaitement irréaliste. Selon le contrat de travail de la recourante avec D______ du 17 octobre 2016, son employeur de l’époque, qui louait ses services à la société susmentionnée, le salaire-horaire de la recourante correspondait à CHF 45.- de l’heure, avec un supplément de 3.2% et 8.33% (total 50.3/h) ce qui correspondait à un revenu annuel à plein temps de CHF 96'576.- (50.3 x 40 heures x 48 semaines).</w:t>
      </w:r>
    </w:p>
    <w:p>
      <w:r>
        <w:rPr>
          <w:b/>
        </w:rPr>
        <w:t>E. 4.2</w:t>
      </w:r>
    </w:p>
    <w:p>
      <w:r>
        <w:t>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Les exceptions doivent être établies avec une vraisemblance prépondérante (ATF 134 V 322 consid. 4.1 p. 325 s. avec référence). On ne peut se baser sur des valeurs empiriques et moyennes qu'en tenant compte des facteurs personnels et professionnels pertinents pour la rémunération dans le cas d'espèce (arrêt du Tribunal fédéral des assurances I 97/00 du 29 août 2002 consid. 1.2 ; ULRICH MEYER, Rechtsprechung des Bundesgerichts zum IVG, 2e éd. 2010, p. 302 et PETER OMLIN, Die Invalidität in der obligatorischen Unfallversicherung , 1995, p. 180). Pour la détermination du revenu sans invalidité, il faut également tenir compte des chances réelles d’avancement compromises par l’invalidité en posant la présomption que l’assuré aurait continuée d’exercer son activité sans la survenance de l’invalidité. Dans tous les cas, il faut établir au degré de vraisemblance prépondérante ce qu’il aurait réellement pu obtenir s’il n’était pas invalide. Les chances d’avancement doivent être hautement vraisemblables (arrêt du Tribunal fédéral des assurances I 590/02 du 20 juin 2003 consid. 3.2.3). De simples déclarations d’intention de l’assuré ne suffisent pas (arrêts du Tribunal fédéral 9C_486/2011 du 12 octobre 2011 consid. 4.1 ; 9C_523/2008 du 25 mai 2009 consid. 2.2). L’assuré doit apporter la preuve qu’il aurait réalisé un revenu plus élevé s’il n’était pas devenu invalide, par exemple, en établissant que l’employeur avait laissé entrevoir une perspective d’avancement ou qu’il avait donné des assurances en ce sens (arrêt U 22/97 du 23 juin 1999 consid. 5c). L’intention de progresser sur le plan professionnel pouvait également s’être manifestée par des étapes concrètes, telles que la fréquentation de cours, le début d’études ou la passation d’examen (arrêt du Tribunal fédéral 8C_550/2009 du 12 novembre 2009 consid. 4.1). De même, il fallait tenir compte d’une augmentation du salaire réel grâce à un développement des capacités professionnelles individuelles (lié en particulier un complément de formation) ou en raison d’une circonstance personnelle comme une promotion à une fonction supérieure ou un changement de profession si ces circonstances apparaissent dûment établies (arrêts du Tribunal fédéral 8C_290/2013 du 11 mars 2014 ; 8C_304/2013 du 11 mars 2014 consid. 6.1). Pour les jeunes assurés, il fallait éviter de poser des exigences de preuve trop strictes lorsqu’il débutait leur carrière professionnelle au moment de la survenance de l’invalidité en raison de la difficulté à apporter la preuve d’une évolution hypothétique du revenu sans invalidité (arrêt du Tribunal fédéral I 400/07 du 2 mai 2007 consid. 4). Cela étant, les indices d'une évolution professionnelle doivent en principe exister, même chez les jeunes assurés, sous forme d'éléments concrets dès la survenance de l'atteinte à la santé. Rien d'autre ne peut être déduit de l'arrêt du Tribunal fédéral des assurances B 55/02 du 9 avril 2003, reproduit en partie dans SZS 2004 p. 67. Il n'y a pas lieu d'exiger une preuve stricte d'une formation continue suivie après l'atteinte à la santé, mais par contre certains éléments concrets au moment de l'atteinte à la santé, afin de pouvoir supposer une fin de formation ultérieure et un revenu correspondant. Il n'y a donc pas lieu de s'écarter du principe selon lequel des indices concrets d'une évolution professionnelle sont exigés pour les jeunes assurés (SVR 2010 UV n° 13 p. 51 consid. 4.2).</w:t>
      </w:r>
    </w:p>
    <w:p>
      <w:r>
        <w:rPr>
          <w:b/>
        </w:rPr>
        <w:t>E. 4.3</w:t>
      </w:r>
    </w:p>
    <w:p>
      <w:r>
        <w:t>En l’espèce, l’intimé a pris en compte, pour calculer le revenu sans invalidité de la recourante en 2020 et en 2021, le dernier salaire obtenu à 100% de B______, qui s’élevait à CHF 92'560.- en 2011 selon le compte individuel de la recourante, indexé à 2020 (CHF 98'958.-) et 2021 (CHF 99'562.-). L’intimé a admis, dans sa réponse, que la recourante avait un statut d’active, précisant que pour la période du 1 er août 2016 au 31 décembre 2017, la recourante avait droit à une rente entière d’invalidité sur le taux d’invalidité de 72.89%, selon l’évaluation du 15 décembre 2022 (salaire à 100% de CHF 100'676.-, soit le salaire de CHF 80'541.- touché à 80% auprès de B______ extrapolé à 100%). Il est justifié de retenir ce dernier salaire obtenu par la recourante en 2012 à 80%, extrapolé à 100%, car il est plus élevé que celui qu’elle gagnait en travaillant à 100% en 2011. En conséquence, il faut retenir pour déterminer le taux d’invalidité de la recourante le revenu sans invalidité de CHF 100'676.- en 2016 indexé à 2020, soit CHF 103'463.30, puis à 2021, soit CHF 104'095.-. Les pièces produites par la recourante n’établissent pas d’éléments concrets existant au moment de l’atteinte à la santé permettant de retenir un revenu plus élevé que celui qu’elle touchait en dernier lieu à 80% pour B______. Son engagement pour cette société a duré moins de trois ans et il n’a pas été rendu vraisemblable que son employeur lui aurait laissé entrevoir une perspective d’avancement ou lui aurait donné des assurances à ce sujet. L’attestation établie par le CEO de B______ en août 2022, selon laquelle il estimait après l’étude du dossier de la recourante (CV, expérience et salaires en vigueur dans la société) que son salaire annuel pour une activité à 100% en qualité de PR Manager aurait été, en 2022, d’au moins CHF 110'000.-, hors commissions, si elle avait pu poursuivre ses activités, ne permet pas d’en juger autrement, faute d’éléments concrets sur les perspectives professionnelles de la recourante existants au moment de son atteinte à la santé. L’appréciation du responsable RH de B______ du 21 février 2024, selon laquelle en 2016, le PR Manager en poste avait un salaire de CHF 91'500.- et qu’au vu de l’ancienneté de la recourante ainsi que de l’inflation entre 2012 et 2016, il extrapolait un salaire de CHF 95'900.- à 100%, est moins favorable à la recourante et non probant, car cette appréciation se fonde sur le salaire du PR Manager en poste en 2016 et non sur les perspectives concrètes d’avancement de la recourante. Le fait que l’époux de la recourante, qui a la même formation qu’elle, percevait en 2019 un salaire mensuel de CHF 11'263.- ne suffit pas en juger autrement à teneur de la jurisprudence précitée. Quant à l’attestation de P______, elle ne rend pas non plus vraisemblable une perspective probable d’avancement de la recourante au sens de la jurisprudence, son évaluation du salaire qu’aurait pu toucher la recourante n’étant pas fondée sur sa connaissance de sa situation concrète auprès de B______.</w:t>
      </w:r>
    </w:p>
    <w:p>
      <w:r>
        <w:rPr>
          <w:b/>
        </w:rPr>
        <w:t>E. 5.1</w:t>
      </w:r>
    </w:p>
    <w:p>
      <w:r>
        <w:t>La recourante reproche également à l’intimé de ne pas avoir tenu compte de la partie variable de son salaire chez B______ (bonus) en sus de son salaire pour fixer son revenu sans invalidité, laquelle lui était contractuellement due. Selon l’intimé, si le bonus faisait partie intégrante du salaire de la recourante au montant de 5%, il était peu compréhensible que l’employeur en ait fait une rémunération variable, qui dépendait en général d’une décision discrétionnaire de l’employeur selon l’exercice ou les performances des employés. Dans le droit du travail, une telle rémunération pouvait être admise comme faisant partie de la rémunération de base à condition d’avoir été touchée pendant très longtemps par l’employé, de sorte à créer une expectative légitime de celui-ci. Tel n’était manifestement pas le cas de la recourante qui, selon les extraits de comptes disponibles, n’avait jamais touché la somme indiquée même avant de réduire son taux d’activité.</w:t>
      </w:r>
    </w:p>
    <w:p>
      <w:r>
        <w:rPr>
          <w:b/>
        </w:rPr>
        <w:t>E. 5.2</w:t>
      </w:r>
    </w:p>
    <w:p>
      <w:r>
        <w:t>Selon l’art. 1 du règlement de base de la rémunération variable de B______, en vigueur dès 2008, la rémunération variable équivaut à une rétribution spéciale au sens de l’art. 322d CO. Selon l’art. 2 du règlement, le droit à une rémunération variable est du domaine contractuel. Il est donc individuel (al. 1). Le droit à une rémunération variable contractuel peut être supprimé si un nouveau scope de responsabilité ne le justifie plus ou si la performance est notoirement insuffisante sur au moins deux exercices consécutifs. Cette mesure prendrait effet après communication écrite et dans le respect du délai de congé (al. 2). Le versement de la rémunération variable dans sa globalité n’est jamais garanti. En effet ce versement dépend très étroitement de l’atteinte totale ou partielle des objectifs fixés annuellement tant au niveau de la performance individuelle qu’au niveau des résultats de l’entreprise (al. 3). Une rémunération variable pro rata temporis est allouée aux bénéficiaires qui ont été engagés dans le courant d’un exercice pour la période postérieure à la période d’essai pour autant que toutes les conditions soient remplies selon les termes de l’al. 3 du présent article (al. 4). Au même titre, une absence de plus d’un mois entraînera un calcul du droit à la part variable au pro rata temporis du temps de présence (al. 5). Seul le bénéficiaire sous contrat le 1 er janvier de l’année suivant l’exercice considéré a droit à une rémunération variable pour l’exercice considéré. Le bénéficiaire qui ne répond pas ce critère pour quelque cause que ce soit, perd pour l’exercice en cours son droit la rémunération variable et ceci dans sa globalité (al. 6). Une mesure de licenciement exclut tout droit à une rémunération variable dans sa globalité quelle que soit la date du prononcé et la date d’effet de ce licenciement (al. 7). Selon le ch. 5 du règlement, le bénéficiaire d’un versement au titre de la rémunération variable ne peut en aucun cas en déduire qu’il a un droit définitivement acquis à des versements futurs, même si une rémunération variable lui a été accordée pendant plusieurs années consécutives et ceci pour des montants identiques (al. 2). En effet, les conditions de versement sont revues annuellement selon les termes de l’art 2 al. 3 du présent règlement (al. 3). Dans un dernier paragraphe, le règlement précise qu’il fait partie intégrante du contrat de travail. Une gratification, aux termes de l'art 322d al. 1 CO, est une rétribution spéciale que l'employeur verse en sus du salaire, par exemple une fois par année. Elle se distingue du salaire, et en particulier d'un éventuel treizième mois de salaire (ATF 131 III 615 consid. 5.2 p. 620 et la référence citée),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p. 620 ; 129 III 276 consid. 2 p. 278).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 dans le cas de salaires modestes, un montant proportionnellement moins élevé peut déjà présenter le caractère d'un salaire variable (ATF 131 III 615 consid. 5.2 p. 621 ; 129 III 276 consid. 2.1 p. 279). La régularité de la prestation en question permet de déterminer si elle s'est transformée en un élément du salaire, ou si elle constitue toujours une contrepartie accessoire à celui-ci, c'est-à-dire une gratification. Ainsi, une prestation très élevée par rapport au salaire conserve le caractère de gratification lorsqu'elle n'est versée qu'une seule fois. Dès lors que la gratification atteint régulièrement un montant plus élevé que le salaire, son caractère accessoire n'est pour ainsi dire plus préservé (ATF 129 III 276 consid. 2.1 p. 279 s.). Selon la jurisprudence en matière de bonus (notamment arrêts du Tribunal fédéral 4A_78/2018 du 10 octobre 2018 consid. 4.2 et 4.3 et les références citées ; 4A_463/2017 du 4 mai 2018 consid. 3 ; 4A_290/2017 du 12 mars 2018 consid. 4.1), il faut distinguer les trois cas suivants :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et supérieurs, se pose, ce principe étant en revanche inapplicable pour les très hauts revenus.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 ATF 141 III 407 consid. 4.1 ; 136 III 313 consid. 2 p. 317 ; 129 III 276 consid. 2 p. 278 ; 109 II 447 consid. 5c p. 448). En revanche, on se trouve en présence d'une gratification - dans les cas n° 2 et 3 - lorsque le bonus est indéterminé ou objectivement indéterminable (ATF 141 III 407 consid. 4.1 et 4.2 p. 407 s. ; 139 III 155 consid. 3.1 p. 157 ; arrêt du Tribunal fédéral 4A_485/2016 du 28 avril 2017 consid. 4.1.2). Il y a un droit à la gratification - cas n° 2 - lorsque, par contrat, les parties sont tombées d'accord sur le principe du versement d'un bonus et n'en ont réservé que le montant; il s'agit d'une gratification que l'employeur est tenu de verser ( Anspruch auf die Gratifikation ), mais il jouit d'une certaine liberté dans la fixation du montant à allouer (ATF 136 III 313 consid. 2 p. 317 ; 131 III 615 consid. 5.2 p. 620 ; arrêt du Tribunal fédéral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(ATF 129 III 276 consid. 2.1 ; 131 III 615 consid. 5.2 ; arrêt du Tribunal fédéral 4A_172/2012 précité consid. 8.2), l'employeur jouissant d'une certaine liberté dans la fixation de son montant au cas où les montants étaient variables. Il convient d'ajouter que,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 cf. supra consid. 5).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 jahrzehntelang ),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2.3 p. 280 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du Tribunal fédéral 4A_463/2017 consid. 3.1.3.2 ; 4A_172/2012 consid. 8.2 déjà cités).</w:t>
      </w:r>
    </w:p>
    <w:p>
      <w:r>
        <w:rPr>
          <w:b/>
        </w:rPr>
        <w:t>E. 5.3</w:t>
      </w:r>
    </w:p>
    <w:p>
      <w:r>
        <w:t>Selon le contrat de travail du 19 mai 2011, la recourante était mise au bénéfice d’une rémunération variable contractuelle, qui s’élèverait au maximum à 5% de son salaire annuel de base, soit au maximum de CHF 4'500.-. Il était renvoyé sur la question au règlement spécifique de la part variable. Dans la mesure où le règlement de la société relatif à la rémunération variable prévoit expressément à son art. 5 al. 2 que le bénéficiaire d’un versement au titre de la rémunération variable ne peut en aucun cas en déduire qu’il a un droit définitivement acquis à des versements futurs, même si une rémunération variable lui a été accordée pendant plusieurs années consécutives et ceci pour des montants identiques, la recourante ne peut se prévaloir d’un droit au bonus. Il n’apparaît pas non plus que la réserve du caractère facultatif n'est qu'une formule vide de sens, car B______ n’a versé un bonus à la recourante qu’à deux reprises sur les quatre ans qu’ont duré les rapports de travail.</w:t>
      </w:r>
    </w:p>
    <w:p>
      <w:r>
        <w:rPr>
          <w:b/>
        </w:rPr>
        <w:t>E. 5.4</w:t>
      </w:r>
    </w:p>
    <w:p>
      <w:r>
        <w:t>En conséquence, c’est à juste titre que l’intimé n’a pas tenu compte d’un bonus pour fixer le revenu sans invalidité de la recourante.</w:t>
      </w:r>
    </w:p>
    <w:p>
      <w:r>
        <w:rPr>
          <w:b/>
        </w:rPr>
        <w:t>E. 6.1</w:t>
      </w:r>
    </w:p>
    <w:p>
      <w:r>
        <w:t>La recourante conteste encore le fait que l’intimé a fixé son taux d’invalidité en intégrant à son revenu avec invalidité en 2020 et 2021, sa part de bénéfice dans M______ qu’elle n’a pas touchée, car le bénéfice de la société n’était pas redistribué aux associés selon le nombre de parts, mais restait à la société afin de pouvoir investir éventuellement dans des biens l’année suivante.</w:t>
      </w:r>
    </w:p>
    <w:p>
      <w:r>
        <w:rPr>
          <w:b/>
        </w:rPr>
        <w:t>E. 6.2</w:t>
      </w:r>
    </w:p>
    <w:p>
      <w:r>
        <w:t>Selon la jurisprudence relative à la délimitation entre salaire et dividende, il n'y a lieu de déroger à la répartition choisie par la société que s'il existe une disproportion manifeste entre la prestation de travail et le salaire, respectivement entre le capital propre engagé dans l'entreprise et le dividende. La conversion d'un dividende en salaire déterminant a été admise dans un cas où un salaire exagérément bas s'ajoutait un dividende exagérément élevé en comparaison avec le capital propre engagé dans l'entreprise (ATF 141 V 634 consid. 2 et 3). Dans l’arrêt cité par l’intimé ( 8C_346/2012 du 24 août 2012 consid. 4.3), le Tribunal fédéral a retenu, s’agissant d’un recourant qui était l'unique actionnaire d’une société, qu’il la contrôlait économiquement et que bien qu'il ait été en partie également employé par celle-ci, il n’était pas contraire au droit fédéral de se fonder sur la moyenne de plusieurs revenus annuels comme pour un indépendant pour déterminer ses revenus et fixer son taux d’invalidité. Dans l’arrêt 8C_898/2010 du 13 avril 2011, également cité par l’intimé, le Tribunal fédéral a jugé qu’on ne pouvait pas se baser sur une comparaison des revenus des trois dernières années, comme c'était le cas pour les travailleurs indépendants, s’agissant du directeur d’une société dont il n’était pas associé. Selon le ch. 3319 de la Circulaire sur l’invalidité et les rentes dans l’assurance-invalidité (CIRAI), dans son état au 1 er juillet 2022, pour savoir si une personne exerce une activité lucrative à titre d’indépendant ou de salarié, il ne faut pas se fonder sur la nature juridique de la relation contractuelle entre les parties.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(arrêts du Tribunal fédéral 8C_228/2021 du 6 octobre 2021 et 9C_453/2014 du 17 février 2015). Les dirigeants d’une société anonyme ou d’une Sàrl doivent, en principe, être considérés comme des salariés. Toutefois, si une personne dirigeant une telle société dispose d’une influence déterminante sur celle-ci (par ex. parce qu’elle est la seule à avoir le droit de signature), il est justifié d’évaluer le taux d’invalidité par la méthode utilisée pour les indépendants (par ex. en tenant compte de la moyenne des revenus de plusieurs années ou par une comparaison pondérée des champs d’activité, arrêt du Tribunal fédéral 8C_898/2010 ). On considère notamment qu’un assuré employé par une société anonyme possède un statut d’indépendant s’il dispose d’une influence déterminante sur l’entreprise en sa qualité d’actionnaire unique. Comme, de par cette position, il a en outre une influence déterminante sur la répartition des revenus entre salaire et bénéfice, on ne devrait pas dans un tel cas se fonder uniquement sur les extraits du compte individuel pour déterminer le taux d’invalidité (arrêt du Tribunal fédéral 8C_346/2012 du 24 août 2012).</w:t>
      </w:r>
    </w:p>
    <w:p>
      <w:r>
        <w:rPr>
          <w:b/>
        </w:rPr>
        <w:t>E. 6.3</w:t>
      </w:r>
    </w:p>
    <w:p>
      <w:r>
        <w:t>Au vu de la jurisprudence du Tribunal fédéral, c’est à tort que l’intimé a pris en compte la part de bénéfice M______ revenant à la recourante, indépendamment du fait qu’elle ne l’a pas touchée, car elle ne peut être considérée comme ayant une position économique déterminante dans cette société, puisqu’elle n’en est pas l'unique actionnaire, ni l’actionnaire majoritaire, n’en détenant que 95 parts sur 200. De plus, son salaire n’était pas exagérément bas en rapport avec un dividende exagérément élevé, ce d’autant moins qu’elle n’a pas touché de dividende pour les deux années en cause.</w:t>
      </w:r>
    </w:p>
    <w:p>
      <w:r>
        <w:rPr>
          <w:b/>
        </w:rPr>
        <w:t>E. 7</w:t>
      </w:r>
    </w:p>
    <w:p>
      <w:r>
        <w:t>Le taux d’invalidité calculé avec les revenus avec et sans invalidité retenus est de 74.88% en 2020 (CHF 103'463.30 - CHF 25'984.- x 100 / CHF 103'463.30) et de 55.1% en 2021 (CHF 104'095.- CHF 46'658.- x 100 / CHF 104'095.-), ce qui ouvre à la recourante le droit à une rente entière d’invalidité dès le 1 er janvier 2020 et à une demi-rente dès le 1 er janvier 2021. Dans la mesure où la recourante avait 40 ans au 1 er janvier 2022, la quotité éventuelle de sa rente fixée avant 2022 subsiste tant que son taux d’invalidité ne subit pas de modification au sens de l’art. 17 al. 1 LPGA, selon les let. b et c des dispositions transitoires de la LAI relatives à la modification du 19 juin 2020.</w:t>
      </w:r>
    </w:p>
    <w:p>
      <w:r>
        <w:rPr>
          <w:b/>
        </w:rPr>
        <w:t>E. 8</w:t>
      </w:r>
    </w:p>
    <w:p>
      <w:r>
        <w:t>Au vu de ce qui précède, le recours sera admis partiellement et la décision du 28 mars 2023 réformée dans le sens que la recourante a droit à une rente entière d’invalidité du 1 er août 2016 au 31 décembre 2017, comme admis par l’intimé et du 1 er janvier au 31 décembre 2020 et à une demi-rente dès le 1 er janvier 2021. La décision est pour le surplus confirmée en tant qu’elle octroyait à la recourante une rente entière du 1 er janvier 2018 au 31 décembre 2019. La recourante obtenant partiellement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