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A/1492/2022 vom 19. Mai 2023</w:t>
      </w:r>
    </w:p>
    <w:p>
      <w:r>
        <w:t>GE Cour de justice, 2023-05-19, FR</w:t>
      </w:r>
    </w:p>
    <w:p>
      <w:r>
        <w:rPr>
          <w:b/>
        </w:rPr>
        <w:t xml:space="preserve">Quelle: </w:t>
      </w:r>
      <w:r>
        <w:t>https://mcp.opencaselaw.ch/entscheid/ge_gerichte_A_1492_2022</w:t>
      </w:r>
    </w:p>
    <w:p>
      <w:r>
        <w:t>FR: GE_GERICHTE A/1492/2022 du 19 mai 2023</w:t>
      </w:r>
    </w:p>
    <w:p>
      <w:r>
        <w:t>IT: GE_GERICHTE A/1492/2022 del 19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 modification du 21 juin 2019 de la LPGA est entrée en vigueur le 1 er janvier 2021. ![endif]&gt;![if&gt; Dès lors que le présent recours n’était pas pendant devant la chambre de céans à cette date, il est soumis au nouveau droit (cf. art. 82 a LPGA).</w:t>
      </w:r>
    </w:p>
    <w:p>
      <w:r>
        <w:rPr>
          <w:b/>
        </w:rPr>
        <w:t>E. 3</w:t>
      </w:r>
    </w:p>
    <w:p>
      <w:r>
        <w:t>S’agissant de la recevabilité du recours, la chambre de céans rappelle ce qui suit. ![endif]&gt;![if&gt;</w:t>
      </w:r>
    </w:p>
    <w:p>
      <w:r>
        <w:rPr>
          <w:b/>
        </w:rPr>
        <w:t>E. 3.1</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Une conclusion portant sur un élément sur lequel l’autorité s’est déjà prononcée par un jugement entré en force est irrecevable (cf. arrêt du Tribunal fédéral 9C_808/2017 du 12 mars 2018 consid. 5.2). ![endif]&gt;![if&gt;</w:t>
      </w:r>
    </w:p>
    <w:p>
      <w:r>
        <w:rPr>
          <w:b/>
        </w:rPr>
        <w:t>E. 3.2</w:t>
      </w:r>
    </w:p>
    <w:p>
      <w:r>
        <w:t>Dans son arrêt du 6 mai 2021, la chambre de céans a tranché la capacité de travail du recourant dans une activité adaptée en se ralliant à l’appréciation des médecins d’arrondissement de l’intimée sur ce point. Dans la mesure où le dispositif dudit arrêt se réfère à ses considérants, ceux-ci ont également acquis force de chose jugée. Partant, les conclusions du recourant tendant à la mise en œuvre d’une expertise et à la reconnaissance d’une pleine incapacité de gain et d’une atteinte à l'intégrité entière sont irrecevables, ce point ayant déjà été tranché. On relèvera, de plus, que selon leur formulation, ces conclusions sont de nature constatatoire et non condamnatoire, et sont dès lors en principe irrecevables, car elles ont un caractère subsidiaire par rapport à des conclusions condamnatoires (ATF 129 V 289 consid. 2.1, arrêt du Tribunal fédéral des assurances B 149/06 du 11 juin 2007 consid. 5.2). On peut préciser qu’une éventuelle dégradation de l’état de santé postérieure à la décision attaquée – que l’attestation portugaise produite ne suffit nullement à établir – devra, cas échéant, faire l’objet d’une demande de révision du droit à la rente.![endif]&gt;![if&gt;</w:t>
      </w:r>
    </w:p>
    <w:p>
      <w:r>
        <w:rPr>
          <w:b/>
        </w:rPr>
        <w:t>E. 3.3</w:t>
      </w:r>
    </w:p>
    <w:p>
      <w:r>
        <w:t>Pour le surplus, le recours, déposé dans les forme et délai prévus par la loi (art. 56ss LPGA), est recevable en tant qu’il porte sur le calcul du degré d’invalidité. ![endif]&gt;![if&gt;</w:t>
      </w:r>
    </w:p>
    <w:p>
      <w:r>
        <w:rPr>
          <w:b/>
        </w:rPr>
        <w:t>E. 4</w:t>
      </w:r>
    </w:p>
    <w:p>
      <w:r>
        <w:t>Le litige, tel que circonscrit par la décision litigieuse, dont la portée a elle-même été définie par l’arrêt de renvoi de la chambre de céans, porte sur les modalités de calcul du degré d’invalidité, en particulier sur les revenus avant et après invalidité.![endif]&gt;![if&gt; La compensation des rentes à restituer faisant l’objet du décompte du 16 septembre 2021, qui accompagnait la décision soumise à opposition, n’est pas litigieuse au vu de l’accord intervenu entre les parties. Compte tenu des circonstances, il n’est toutefois pas inutile de relever qu’on peut s’étonner qu’elle soit intervenue avant même que la décision tranchant les prestations à restituer ne soit entrée en force et qu’une éventuelle demande de remise (cf. art. 4 al. 4 de l’ordonnance sur la partie générale du droit des assurances sociales [OPGA - RS 830.11]) ne soit examinée.</w:t>
      </w:r>
    </w:p>
    <w:p>
      <w:r>
        <w:rPr>
          <w:b/>
        </w:rPr>
        <w:t>E. 5</w:t>
      </w:r>
    </w:p>
    <w:p>
      <w:r>
        <w:t>Aux termes de l’art. 18 al. 1 LAA, si l’assuré est invalide (art. 8 LPGA) à 10% au moins par suite d’un accident, il a droit à une rente d’invalidité, pour autant que l’accident soit survenu avant l’âge ordinaire de la retraite.![endif]&gt;![if&gt;</w:t>
      </w:r>
    </w:p>
    <w:p>
      <w:r>
        <w:rPr>
          <w:b/>
        </w:rPr>
        <w:t>E. 6</w:t>
      </w:r>
    </w:p>
    <w:p>
      <w:r>
        <w:t>On peut rappeler ce qui suit au sujet du calcul du degré d’invalidité. ![endif]&gt;![if&gt;</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![endif]&gt;![if&gt;</w:t>
      </w:r>
    </w:p>
    <w:p>
      <w:r>
        <w:rPr>
          <w:b/>
        </w:rPr>
        <w:t>E. 6.2</w:t>
      </w:r>
    </w:p>
    <w:p>
      <w:r>
        <w:t>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Les revenus réalisés dans des activités accessoires sont pris en compte dans le revenu sans invalidité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références).![endif]&gt;![if&gt;</w:t>
      </w:r>
    </w:p>
    <w:p>
      <w:r>
        <w:rPr>
          <w:b/>
        </w:rPr>
        <w:t>E. 6.3</w:t>
      </w:r>
    </w:p>
    <w:p>
      <w:r>
        <w:t>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l'ESS, ou de données salariales résultant de DPT (ATF 139 V 592 consid. 2.3). ![endif]&gt;![if&gt;</w:t>
      </w:r>
    </w:p>
    <w:p>
      <w:r>
        <w:rPr>
          <w:b/>
        </w:rPr>
        <w:t>E. 6.4</w:t>
      </w:r>
    </w:p>
    <w:p>
      <w:r>
        <w:t>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Les activités décrites dans les DPT ayant servi de référence dans la décision initiale doivent être exigibles de l'assuré (arrêt du Tribunal fédéral 8C_430/2014 du 21 décembre 2015 consid. 4.4). Il appartient à la juridiction cantonale d'examiner si les DPT produits satisfont aux conditions posées par la jurisprudence et, dans la négative, de renvoyer la cause à l'assureur pour compléter son enquête économique, ou de procéder elle-même à la détermination du revenu d'invalide sur la base des données statistiques issues de l’ESS (arrêt du Tribunal fédéral 8C_199/2017 du 6 février 2018 consid. 5.2). ![endif]&gt;![if&gt;</w:t>
      </w:r>
    </w:p>
    <w:p>
      <w:r>
        <w:rPr>
          <w:b/>
        </w:rPr>
        <w:t>E. 6.5</w:t>
      </w:r>
    </w:p>
    <w:p>
      <w:r>
        <w:t>En ce qui concerne le recours aux DPT plutôt qu’aux salaires des ESS, le Tribunal fédéral a souligné qu’il n’apparaissait guère satisfaisant que la SUVA puisse définir le degré d’invalidité en fonction des DPT ou de l’ESS selon sa propre appréciation (ATF 139 V 592 consid. 6.2). La jurisprudence ne laissait pas le choix de la méthode à la SUVA, mais lui imposait de recourir aux DPT, à moins que les circonstances du cas d'espèce n’y fassent obstacle et qu'il ne lui soit pas possible de trouver, parmi la documentation disponible, le nombre requis de postes de travail pouvant entrer en ligne de compte pour l'assuré concerné (arrêts du Tribunal fédéral 8C_171/2021 du 14 décembre 2021 consid. 3.2 et 8C_607/2020 du 6 mai 2021 consid. 5.2).![endif]&gt;![if&gt; Cela étant, la SUVA ne met plus à jour la base de données des DPT. Les principes énoncés ci-dessus s'appliquent toutefois toujours au contrôle des décisions de rentes fondées sur les DPT (arrêt du Tribunal fédéral 8C_315/2020 du 24 septembre 2020 consid. 3.2). La jurisprudence a souligné que l’abandon des DPT ne suffit pas à justifier un réexamen du droit à la rente (arrêt du Tribunal fédéral 8C_517/2019 du 26 septembre 2019 consid. 6.1).</w:t>
      </w:r>
    </w:p>
    <w:p>
      <w:r>
        <w:rPr>
          <w:b/>
        </w:rPr>
        <w:t>E. 6.6</w:t>
      </w:r>
    </w:p>
    <w:p>
      <w:r>
        <w:t>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permet de tenir compte des différents éléments qui peuvent influencer le revenu d'une activité lucrative (ATF 126 V 75 consid. 5b). ![endif]&gt;![if&gt; L'étendue de l'abattement justifié dans un cas concret relève du pouvoir d'appréciation (ATF 132 V 393 consid. 3.3).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l’assureur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7</w:t>
      </w:r>
    </w:p>
    <w:p>
      <w:r>
        <w:t>En l’espèce, il convient, en premier lieu, de souligner que le recourant ne saurait faire grief à l’intimée d’avoir procédé au nouveau calcul du degré d’invalidité en fonction des ESS. En effet, si l’abandon des DPT n’implique pas ipso facto l’annulation d’une décision de rente déterminée sur la base de ces données – pour autant que les conditions auxquelles la jurisprudence subordonne leur application soient respectées – on ne saurait à l’inverse exiger que tout nouveau calcul du degré d’invalidité s’opère selon les DPT, lorsque ces données ont été initialement utilisées, alors même que la base de données correspondante n’est plus mise à jour par l’intimée. Du reste, comme cela ressort de la jurisprudence citée, lorsque les DPT ayant servi à déterminer le revenu d’invalide ne sont pas adaptés aux limitations fonctionnelles de l’assuré, le juge est fondé à établir ce revenu en fonction des ESS – ce qui démontre qu’un assuré ne peut se prévaloir de droits acquis en lien avec les bases applicables au calcul de la rente qu’il peut prétendre. ![endif]&gt;![if&gt;</w:t>
      </w:r>
    </w:p>
    <w:p>
      <w:r>
        <w:rPr>
          <w:b/>
        </w:rPr>
        <w:t>E. 7.1</w:t>
      </w:r>
    </w:p>
    <w:p>
      <w:r>
        <w:t>Ceci étant établi, il convient de vérifier le calcul de l’intimée, et en premier lieu le revenu sans invalidité. ![endif]&gt;![if&gt; L’intimée s’est fondé sur les deux revenus que le recourant réalisait avant son accident établis sur la base des indications données par ses employeurs. Dans son calcul du revenu en qualité d’aide-monteur, elle n’a certes pas intégré les indemnités annoncées par l’employeur pour les vacances et les jours fériés, au motif qu’elle avait annualisé ce revenu en fonction de l’horaire stipulé dans la CCT. Elle a retenu un revenu à ce titre de CHF 54'518.- Un tel chiffre est légèrement favorable au recourant, puisque, si l’on tient compte du salaire horaire de CHF 28.35 incluant les diverses indemnités, tel que communiqué par l’employeur en janvier 2018, on aboutit à un revenu hebdomadaire de CHF 1'134.- et à un revenu annuel de CHF 53'298.- une fois multiplié par 47 semaines par année, étant rappelé qu’une indemnité de vacances de 10.64% correspond à cinq semaines, qui doivent être déduites de la durée annuelle de travail (cf. notamment le calcul dans l’arrêt 8C_310/2018 du 18 décembre 2018 consid. 5.2). Quant au revenu tiré de l’activité accessoire, l’intimée l’a fixé à CHF 20'295.- Ce chiffre se révèle également légèrement supérieur au montant de CHF 20'286.- que l’on obtiendrait en prenant le salaire horaire de CHF 19.85, en y ajoutant deux indemnités de 8.33% pour vacances et 13 ème salaire, et en le multipliant par 18.25 heures et 48 semaines – l’indemnité de vacances de 8.33% correspondant à quatre semaines. Partant, on ne s’écartera pas du revenu sans invalidité de CHF 74'813.- retenu par l’intimée.</w:t>
      </w:r>
    </w:p>
    <w:p>
      <w:r>
        <w:rPr>
          <w:b/>
        </w:rPr>
        <w:t>E. 7.2</w:t>
      </w:r>
    </w:p>
    <w:p>
      <w:r>
        <w:t>Quant au revenu après invalidité, il est conforme au droit de le fixer en référence aux ESS plutôt qu’à des DPT, comme on l’a vu, plus particulièrement au revenu tiré d’activités simples et répétitives correspondant au TA1_skill_level, Ligne Total. On peut préciser que le Tribunal fédéral a considéré 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Ce revenu selon l’ESS 2018 était de CHF 5'317.- par mois, et s’élevait à CHF 67'767.- une fois annualisé et adapté à la durée normale de travail de 41.7 heures. Il est de CHF 33'834.-, compte tenu d’une capacité de travail de 50%.![endif]&gt;![if&gt; L’intimée n’a procédé à aucun abattement sur ce revenu, ce qu’elle a motivé au stade de la décision sur opposition par le fait que la capacité de travail de 50% tiendrait déjà compte des limitations fonctionnelles imputables aux séquelles de l’accident. Elle ne peut pas être suivie sur ce point. En effet, la diminution du taux de travail est certes dictée par des raisons médicales, mais il n’en reste pas moins que le recourant présente d’autres limitations quant à la nature de l’activité qu’il est encore capable d’exercer, puisqu’elle doit être peu contraignante physiquement selon les limitations fonctionnelles retenues par le Dr D______. Or, selon la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De plus,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(arrêt du Tribunal fédéral 9C_18/2022 du 9 novembre 2022 consid. 3.2 et les références). Partant, eu égard tant au taux de travail réduit de moitié qu’aux restrictions dans les activités qui peuvent encore être exercées par le recourant, la chambre de céans considère qu’un abattement de 10% doit être appliqué dans le cas d’espèce. Le revenu d’invalide est ainsi réduit à CHF 30’450.-.</w:t>
      </w:r>
    </w:p>
    <w:p>
      <w:r>
        <w:rPr>
          <w:b/>
        </w:rPr>
        <w:t>E. 7.3</w:t>
      </w:r>
    </w:p>
    <w:p>
      <w:r>
        <w:t>La comparaison des revenus aboutit ainsi à une perte de gain de 59.29%, qui doit être arrondie selon les règles mathématiques (ATF 130 V 121 consid. 3.2) à 59%. ![endif]&gt;![if&gt; C’est ainsi à une rente de ce taux qu’a droit le recourant, dès le 1 er mars 2018.</w:t>
      </w:r>
    </w:p>
    <w:p>
      <w:r>
        <w:rPr>
          <w:b/>
        </w:rPr>
        <w:t>E. 8</w:t>
      </w:r>
    </w:p>
    <w:p>
      <w:r>
        <w:t>Eu égard à l’issue du présent litige, il est inutile d’examiner si le fait de ne pas avoir interpellé le recourant sur la possibilité de retirer son recours dans l’éventualité d’une réformation de la décision à son détriment à la suite du renvoi de la cause à l’intimée relève d’une violation de son droit d’être entendu (ATF 137 V 314 consid. 3.2).![endif]&gt;![if&gt;</w:t>
      </w:r>
    </w:p>
    <w:p>
      <w:r>
        <w:rPr>
          <w:b/>
        </w:rPr>
        <w:t>E. 8.1</w:t>
      </w:r>
    </w:p>
    <w:p>
      <w:r>
        <w:t>Par appréciation anticipée des preuves, la chambre de céans considère qu’une audience de comparution personnelle n’est pas nécessaire compte tenu du fait que les éléments de calcul figurent au dossier.![endif]&gt;![if&gt;</w:t>
      </w:r>
    </w:p>
    <w:p>
      <w:r>
        <w:rPr>
          <w:b/>
        </w:rPr>
        <w:t>E. 9</w:t>
      </w:r>
    </w:p>
    <w:p>
      <w:r>
        <w:t>Le recours est partiellement admis.![endif]&gt;![if&gt; Le recourant, qui obtient partiellement gain de cause et est assisté d’un avocat, a droit à des dépens, qui seront fixés à CHF 800.- (art. 61 let. g LPGA). Pour le surplus, la procédure est gratuite (art. 61 let. f bis LPGA a contrario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