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A/1491/2011 vom 17. Dezember 2013</w:t>
      </w:r>
    </w:p>
    <w:p>
      <w:r>
        <w:t>GE Cour de justice, 2013-12-17, FR</w:t>
      </w:r>
    </w:p>
    <w:p>
      <w:r>
        <w:rPr>
          <w:b/>
        </w:rPr>
        <w:t xml:space="preserve">Quelle: </w:t>
      </w:r>
      <w:r>
        <w:t>https://mcp.opencaselaw.ch/entscheid/ge_gerichte_A_1491_2011</w:t>
      </w:r>
    </w:p>
    <w:p>
      <w:r>
        <w:t>FR: GE_GERICHTE A/1491/2011 du 17 décembre 2013</w:t>
      </w:r>
    </w:p>
    <w:p>
      <w:r>
        <w:t>IT: GE_GERICHTE A/1491/2011 del 17 dicembre 2013</w:t>
      </w:r>
    </w:p>
    <w:p>
      <w:pPr>
        <w:pStyle w:val="Heading2"/>
      </w:pPr>
      <w:r>
        <w:t>Regeste</w:t>
      </w:r>
    </w:p>
    <w:p>
      <w:r>
        <w:t>; DROIT DE LA FONCTION PUBLIQUE ; COMMUNE ; FONDATION(PERSONNE MORALE) ; CONTRAT DE TRAVAIL ; CONTESTATION CIVILE ; COMPÉTENCE RATIONE MATERIAE | Le Statut du Grand Théâtre de Genève constitue une base légale formelle suffisamment claire pour admettre la soumission au droit privé des rapports de travail des membres de la direction générale et du personnel artistique de scène travaillant au sein de cette fondation d'intérêt public communal. En l'espèce, les différentes activités exercées par la recourante pouvaient, sans arbitraire ni inégalité de traitement, être qualifiées d'artistiques. C'est donc à bon droit que la recourante a été engagée sous contrat de droit privé, en tant que membre du personnel artistique de scène. Le litige relatif à ses rapports de travail échappent, partant, à la compétence de la chambre administrative. | LPA.4.al1 ; LPA.5.letf ; LAC.30.al1.lett ; LAC.30.al1.letw ; LAC.48.letr ; LAC.48.letv ; LFonds.2</w:t>
      </w:r>
    </w:p>
    <w:p>
      <w:pPr>
        <w:pStyle w:val="Heading2"/>
      </w:pPr>
      <w:r>
        <w:t>Erwägungen</w:t>
      </w:r>
    </w:p>
    <w:p>
      <w:r>
        <w:rPr>
          <w:b/>
        </w:rPr>
        <w:t>E. 1</w:t>
      </w:r>
    </w:p>
    <w:p>
      <w:r>
        <w:t>Personnel engagé par le conseil administratif de la ville de Genève a) Le directeur général et le secrétaire général sont engagés par le conseil administratif au moyen d’un contrat de droit privé, sur proposition du conseil de fondation, lequel devra avoir pris connaissance du préavis obligatoirement formulé par le bureau. b) Le personnel administratif ou technique permanent appartenant à l’administration municipale de la ville de Genève est engagé par le conseil administratif, selon le statut de l’administration municipale, sur proposition de la fondation, conformément aux règles suivantes - pour le personnel supérieur (catégories hors cadre, 14 e classe statutaire ou supérieure, ou traitement correspondant), la proposition est faite par le conseil de fondation qui, au préalable, aura pris connaissance des préavis obligatoirement formulés par le bureau et par la direction du Grand Théâtre ; - pour tous les autres membres du personnel, administratif ou technique (classes statutaires de 4 à 13, ou traitement correspondant), la proposition est faite directement par le bureau du conseil qui, au préalable, aura pris connaissance du préavis obligatoirement formulé par la direction du Grand Théâtre Tous les cas de sanctions, de résiliation ou révocation, etc. concernant le personnel permanent appartenant à l’administration municipale de la ville de Genève seront traités également selon la procédure décrite ci-dessus. La direction du Grand Théâtre propose au conseil administratif les confirmations définitives, les engagements et les changements de catégorie. c) Le personnel administratif ou technique temporaire (y compris personnel de salle) est engagé par le conseiller administratif chargé du département des affaires culturelles au moyen d’un contrat de droit privé, sur proposition de la direction.</w:t>
      </w:r>
    </w:p>
    <w:p>
      <w:r>
        <w:rPr>
          <w:b/>
        </w:rPr>
        <w:t>E. 2</w:t>
      </w:r>
    </w:p>
    <w:p>
      <w:r>
        <w:t>Personnel engagé par la fondation du Grand Théâtre a) Les chefs d’un secteur artistique (tels que directeur du ballet, chef des chœurs, directeur technique ou autre fonction de même importance) sont engagés par la fondation au moyen d’un contrat de droit privé et sur décision du conseil de fondation, lequel devra avoir pris connaissance des préavis obligatoirement formulés par le bureau et la direction. b) Le personnel artistique, administratif ou technique est engagé par la fondation au moyen de contrats annuels de droit privé sur proposition de la direction.</w:t>
      </w:r>
    </w:p>
    <w:p>
      <w:r>
        <w:rPr>
          <w:b/>
        </w:rPr>
        <w:t>E. 3</w:t>
      </w:r>
    </w:p>
    <w:p>
      <w:r>
        <w:t>Personnel engagé par la direction. Le personnel artistique, administratif ou technique temporaire ou au spectacle est engagé par la direction conformément aux dispositions de l’article 5, litt. b ci-dessus et en respectant les dispositions en vigueur de la ville de Genève dans ce domaine. A rigueur de texte, le règlement intérieur prévoit une compétence d’engagement concurrente du conseil administratif et de la fondation concernant le personnel administratif ou technique, permanent ou temporaire. (art. 6 ch. 1 let. b et c d’une part et art. 6 ch. 2 let. b et ch. 3 d’autre part). Suivant la personne de son employeur, le personnel administratif ou technique permanent se voit ainsi soumis à des régimes juridiques différents, à savoir au régime de droit public valant pour les membres de l’administration municipale dans le premier cas (art. 6 ch. 1 let. b du règlement intérieur) ou à des contrats annuels de droit privé dans le second cas (art. 6 ch. 2 let. b du règlement intérieur). Cette clause est l’illustration de l’inégalité de traitement que les audits de 2007 ont à juste titre dénoncée et à laquelle il aurait depuis lors été remédié moyennant la « municipalisation » de tout le personnel administratif ou technique exerçant une fonction permanente au sein du GTG. Concernant le personnel administratif ou technique temporaire, il est susceptible d’être engagé, à teneur de l’art. 6 ch. 1 let. c et ch. 3 du règlement intérieur, tant par le conseiller administratif chargé du département des affaires culturelles que par la fondation, au moyen d’un contrat de droit privé. L’art. 6 ch. 1 let. a du règlement intérieur donne enfin au conseil administratif la compétence d’engager, au moyen d’un contrat de droit privé, le directeur général et le secrétaire général du GTG, tandis qu’en vertu de l’art. 6 ch. 2 et 3, la fondation est seule compétente pour engager, au moyens de contrats de droit privé, les membres de la direction artistique et le personnel artistique. Cette délégation de compétence du conseil administratif à la fondation concernant l’engagement de certaines catégories de personnel ressort également de la PR-688 du 11 mars 2009 en vue de l’approbation du budget de la saison 2009/2010 du GTG, du rapport de la commission des arts et de la culture et de la commission des finances du conseil municipal du 3 août 2009 relatif à cette proposition, de l’organigramme du GTG pour la saison 2010-2011 ou du catalogue exhaustif des fonctions établi par l’intimée en vue du processus de « municipalisation » précité. Les autorités communales en ont donc pleinement conscience et s’en accommodent. La fondation disposerait donc de la compétence d’engager, au moyen de contrats de droit privé, les membres de la direction générale, le personnel artistique permanent et le personnel artistique, administratif ou technique temporaire du GTG, tandis qu’il appartiendrait au conseil administratif de n’engager que le personnel administratif et technique permanent. L’intimée résume de la sorte ses prérogatives en la matière. La légalité de la délégation de compétence qui s’est en pratique opérée en faveur de la fondation paraît toutefois douteuse. Cette délégation ne trouve en effet ancrage que dans un règlement intérieur édicté en 2004 qui, tout en dérogeant au texte clair de l’art. 10 al. 2 ch. 4 du Statut, s’avère de rang inférieur. Certaines clauses de ce règlement ne seraient en outre plus appliquées, tel l’engagement par la fondation de personnel technique ou administratif permanent selon l’art. 6 ch. 2 let. b. La question d’une éventuelle violation du principe de la légalité, comme des conséquences juridiques à en tirer pour le personnel engagé par la fondation souffrira toutefois de demeurer indécise dans la présente espèce en raison de ce qui suit. 7) L’art. 10 al. 2 ch. 4 du Statut distingue deux catégories de personnel susceptible de travailler au sein du GTG, à savoir le personnel permanent ou temporaire faisant partie de l’administration municipale d’une part et, d’autre part, les membres de la direction générale et le personnel artistique de scène. A l’époque des faits litigieux, le régime juridique auquel était soumis le personnel appartenant à la première catégorie résultait du SPAM. Bien que ce dernier ait été remplacé par le RPVG en date du 31 décembre 2010, il reste déterminant en l’espèce, puisque les faits pertinents, soit les engagements successifs de la recourante par la fondation, se sont déroulés alors qu’il était en vigueur. Lorsqu’il s’agit de tirer les conséquences juridiques d’un événement passé qui constitue le fondement de la naissance d’un droit ou d’une obligation, le droit en vigueur au moment de cet événement demeure en effet applicable (cf. T. TANQUEREL, Manuel de droit administratif, 2011, p. 133, n. 408 et la jurisprudence citée). Selon son art. 1, le SPAM s’appliquait à tous les fonctionnaires de la ville, à l’exception du personnel du service d’incendie et de secours soumis à un statut spécial. Toute personne nommée en cette qualité par le conseil administratif pour exercer, à temps complet ou à temps partiel, une fonction permanente au service de la ville était fonctionnaire au sens de ce statut. Sous le titre « engagement de droit privé », l’art. 2 SPAM disposait : Le conseil administratif peut engager, dans le cadre du budget et sur la base de contrats de droit privés ressortissant au titre dixième du Code des obligations : - des auxiliaires fixes ; - des agents spécialisés. Est un auxiliaire fixe toute personne engagée pour une durée indéterminée en vue d’exercer une fonction permanente à temps complet ou à temps partiel. Est un agent spécialisé toute personne engagée en raison de ses connaissances particulières et de son expérience pour accomplir une mission déterminée de durée limitée. Les conseillers administratifs peuvent engager, dans le cadre de leur budget et sur la base d’un contrat de droit privé ressortissant au titre dixième du Code des obligations, des personnes en qualité de temporaires pour une durée limitée en vue de travaux particuliers ou saisonniers. Des règlements distincts fixent les conditions générales d’engagement applicables à chacune de ces catégories. En vertu de l’art. 3 SPAM, le conseil administratif était enfin habilité à édicter par voie de règlements ou d’ordres de service les prescriptions nécessaires à l’application du statut. Le régime juridique des auxiliaires fixes était détaillé dans le règlement du personnel auxiliaire fixe de l’administration municipale du 14 janvier 1987 (LC 21 153 – ci-après : aRPAF), désormais abrogé. Selon les art. 1 et 2 aRPAF, les auxiliaires fixes étaient engagés par le conseil administratif, sous contrat de droit privé régi par les dispositions du règlement et subsidiairement par les art. 319 ss du CO. En dépit de ce renvoi au droit privé, les rapports de travail de cette catégorie de personnel de l’administration municipale relevaient toutefois du droit public, puisque leurs contours étaient précisément déterminés par le aRPAF. Ledit règlement prévoyait en effet la forme de l’engagement, lequel se faisait par lettre soumise à acceptation écrite (art. 3), les délais de résiliation (art. 5), la durée et l’horaire de travail (art. 6 ss), le droit aux vacances et congés (art. 34 ss) des intéressés, etc. L’art. 11 aRPAF soumettait en outre les auxiliaires fixes à la même échelle de traitements que celle des fonctionnaires, à charge pour le conseil administratif d’en classer la fonction au sein de celle-ci (art. 12 aRPAF). Sur la base de l’art. 3 SPAM, le conseil administratif avait en outre édicté le règlement du personnel technique du Grand Théâtre de Genève du 1 er juillet 1977 (LC 21 156 ; ci-après : aRPT), également abrogé depuis lors. Selon l’art. 1 aRPT, ce règlement s’appliquait au personnel technique (fonctionnaires et auxiliaires fixes) du GTG. Le personnel technique du Grand Théâtre comprenait le personnel de scène et le personnel des ateliers. Faisaient partie du personnel de scène : l’ingénieur-technicien ; le régisseur technique ; les machinistes ; les électriciens ; les mécaniciens-électroniciens ; les tapissiers-accessoiristes ; les habilleuses. Faisaient partie du personnel des ateliers : les constructeurs (menuisiers, ébénistes, serruriers) ; les décorateurs (peintres, décorateurs, graphistes, staffeurs) ; les tapissiers-accessoiristes ; les magasiniers (art. 2 aRPT). Les autres dispositions fixaient les conditions de travail de cette catégorie de personnel, à savoir la durée du travail (art. 3 aRPT), l’horaire de travail (art. 4 et 5 aRPT), les heures supplémentaires (art. 6, 8 et 9 aRPT), les heures de nuit (art. 10 aRPT), les indemnités de fonction, de repas et collations (art. 7 et 11 aRPT), les jours de repos et congés (art. 14 à 16 aRPT). Le SPAM était enfin applicable à titre supplétif (art. 23 aRPT). Aucune réglementation particulière n’ayant été édictée pour les agents spécialisés et le personnel temporaire chargé de travaux particuliers ou saisonniers, ces catégories de personnel pouvaient en revanche être engagées par la ville au moyen de contrats de travail au sens des art. 319 ss CO. L’art. 2 du SPAM constituait une base légale suffisante au sens exigé par la jurisprudence pour permettre à la ville d’assujettir ces rapports de travail au droit privé. A l’époque des faits litigieux, le personnel du GTG soumis au SPAM en vertu de l’art. 10 al. 2 ch. 4 ab initio du Statut pouvait donc être engagé soit en qualité de fonctionnaires ou d’auxiliaires fixes assujettis à un régime de droit public, soit en qualité d’agents spécialisés ou de temporaires affectés à des travaux de durée limitée au moyen de contrats de droit privé. L’autre exception au principe de la soumission au droit public des rapports de travail du personnel travaillant au sein du GTG était et demeure toujours ancrée à l’art. 10 al. 2 ch. 4 in fine du Statut. Cette disposition prévoit en effet expressément la possibilité de recourir au droit privé pour l’engagement des membres de la direction générale et le personnel artistique de scène du GTG. Compte tenu de son champ d’application limité, elle fait figure de lex specialis par rapport aux régimes généraux qui résultaient à l’époque du SPAM et résultent désormais du RPVG. Adoptée par le conseil municipal et approuvée par le Grand Conseil, elle déroge valablement à ces régimes généraux, tout en délimitant précisément le cercle des personnes visées, respectivement le régime juridique auxquelles celles-ci peuvent être soumises. Elle constitue donc une base légale formelle suffisamment claire pour asseoir un recours au droit privé. 8) Il reste à déterminer si Mme X______ pouvait être soumise au régime d’exception prévue par l’art. 10 al. 2 ch. 4 in fine du Statut, soit engagée sous contrats de travail de droit privé en qualité de membre du personnel artistique de scène, ou si, au contraire, elle aurait dû être soumise au SPAM sous l’un ou l’autre des régimes prévus par cette législation. Entre 2005 à 2009, la recourante a travaillé pour le compte du GTG sur une vingtaine de productions. Elle a alternativement exercé les fonctions de régisseuse de scène, de régisseuse lumière, de régisseuse surtitres ou d’assistante à la mise en scène à l’occasion de différents spectacles. Selon elle, de telles activités relevaient, tant d’un point de vue organisationnel que matériel, du domaine technique. Selon l’intimée, le personnel artistique de scène visé par l’art. 10 al. 2 ch. 4 in fine du Statut engloberait toutes les personnes attachées à la production artistique d’un spectacle que celles-ci participent ou non à l’acte de création proprement dit. La régie de scène, à laquelle appartenaient les différents postes occupés par Mme X______, aurait pour fonction de coordonner tous les aspects artistiques d’un spectacle, soit de gérer tout ce qui a trait au déroulement scénique et musical d’une œuvre, et relèverait ainsi du domaine artistique. En référence à son organigramme établi dès 2007, la fondation expose que tout le personnel travaillant dans ce secteur serait engagé au moyen de contrats de droit privé, qu’il s’agisse d’employés permanents ou de temporaires, soit de personnes qui, comme la recourante, sont engagées en renfort de l’équipe de base sur une production déterminée. A l’inverse, le personnel exerçant des fonctions relevant de la technique de scène (la machinerie, le son et la vidéo, l’électricité, l’habillage, l’électromécanique, les perruques et le maquillage, les accessoires et les chefs de plateau) serait engagé par la ville et soumis au SPAM en application de l’art. 10 al. 2 ch. 4 ab initio . Si certains membres de ce personnel technique avaient, par le passé, été engagés sous contrats de droit privé, leur situation aurait été régularisée depuis lors, via le processus de « municipalisation » achevé en janvier 2011. Le personnel affecté à la régie de scène n’aurait en revanche pas été visé par ce processus, leur appartenance au secteur artistique n’ayant pas été remise en cause. 9) La notion de personnel artistique de scène contenue à l’art. 10 al. 2 ch. 4 du Statut est une notion juridique indéterminée qui laisse un pouvoir d’appréciation à l’autorité, celle-ci n’étant limitée que par l’excès ou l’abus de ce pouvoir. La chambre de céans revoit librement l’interprétation des notions juridiques indéterminées, mais contrôle sous le seul angle des limites précitées, l’exercice du pouvoir d’appréciation conféré à une autorité. Cette dernière doit notamment respecter les principes constitutionnels régissant le droit administratif, comme l’égalité de traitement et l’interdiction de l’arbitraire (T. TANQUEREL, Manuel de droit administratif, 2011, p. 168 ss, n. 507 ss). Les témoignages recueillis en cours d’instruction concordent tous sur le fait que les différentes activités exercées par la recourante au sein du GTG revêtaient des composantes à la fois techniques et artistiques. Mme X______ ne participait pas directement au processus de création artistique, qui était l’affaire du metteur en scène, de son assistant et du chef d’orchestre, mais relayait leur indications, consignées dans une partition, auprès des différents secteurs techniques (machinerie, accessoires, costumes, maquillage, etc.). Sous l’égide de la régisseuse principale, elle était chargée de planifier et de coordonner un spectacle, en étroite collaboration avec l’équipe artistique. Pour ce faire, elle devait disposer de compétences spécifiques, notamment de connaissances en solfège, qui n’étaient pas requises des personnes travaillant au sein des secteurs techniques précités (machinistes, cintriers, électriciens, etc.). A l’inverse de Mme X______, ces techniciens n’avaient par ailleurs aucun contact avec les personnes chargées de la mise en scène. Les activités de la recourante au sein de la régie de scène ne se confondaient ainsi pas avec celles d’un régisseur technique ou d’un chef de plateau, chargé de diriger et de coordonner la seule équipe des techniciens. La nature hybride des activités exercées par un régisseur de scène est connue tant du législateur fédéral (cf. l’art. 35 OLT 2 qui distingue les travailleurs affectés à la réalisation technique-artistique – à savoir, selon le commentaire du SECO d’avril 2010, les travailleurs dont l’activité, tout en participant à la dimension artistique du théâtre, requiert un savoir-faire technique et qui doivent assurer une certaine continuité et une certaine responsabilité et ne peuvent donc être remplacés pendant la production et les représentations –, de ceux affectés à la création artistique des spectacles ou encore de ceux affectés à des activités nécessaires aux représentations, soit notamment les techniciens aux tâches dépourvues de dimension artistique), que des milieux du théâtre. Tout en le rattachant à la famille des techniciens, l’Opéra national du Rhin sis à Strasbourg décrit le régisseur général comme un « intermédiaire entre le chef d’orchestre, le metteur en scène, les artistes et les techniciens. En fonction de sa partition, aussi appelée ‘conduite du spectacle’, il supervise toutes les répétitions, puis les représentations. Il gère les artistes, leurs entrées et sorties, les manœuvres des techniciens, les changements de décors, etc. ». Selon l’Observatoire prospectif des métiers et des qualifications du spectacle vivant sis à Paris, le régisseur de scène « est un professionnel capable d’organiser, de coordonner et de participer à la mise en œuvre des activités techniques, des ressources humaines et des moyens matériels liés à la scène et/ou au plateau (machinerie, décors, accessoires ), avant, pendant et après le spectacle ou la manifestation. Ces activités sont menées en lien permanent avec l’artistique. Sous l’autorité de la direction technique, et en lien avec les autres régisseurs spécialisés, il est garant du bon déroulement du spectacle ( ) et apporte des réponses aux demandes techniques et artistiques en respectant les règles de sécurité et d’organisation du lieu ». En Suisse également, les régisseurs de scène sont décrits comme « des techniciens responsables de la coordination de tous les éléments qui interviennent lors d’une représentation théâtrale. Ils font le lien entre le metteur en scène et les équipes artistique et technique et agissent comme des ‘chefs d’orchestre’ en donnant le départ du spectacle et en assurant le rythme et le bon déroulement » (cf. http://www.orientation.ch). Compte tenu de ce qui précède, la fondation pouvait, sous contrôle des autorités municipales, légitimement interpréter la notion de personnel artistique de scène de l’art. 10 al. 2 ch. 4 in fine du Statut comme englobant le personnel travaillant, comme la recourante, à la régie de scène. Ce même personnel aurait également pu être rattaché à la catégorie des techniciens, soumis à l’ancien SPAM et désormais au RPVG en application de l’art. 10 al. 2 ch. 4 ab initio du Statut, l’une ou l’autre de ces deux solutions apparaissant soutenables en raison du caractère technico-artistique ou artistico-technique des activités concernées. Une telle décision relevait du pouvoir d’appréciation de l’autorité compétente qui l’a en l’espèce exercé sans excès, ni abus. La définition du personnel artistique de scène litigieuse apparaît d’autant moins arbitraire qu’elle n’a pas varié au fil des ans. La recourante n’a en effet pas démontré que des collaborateurs ayant occupé des fonctions parfaitement similaires aux siennes auraient été engagés comme membres de l’administration municipale et soumis à la réglementation y afférente. Il ressort uniquement de l’instruction de la cause que les diverses activités exercées par Mme X______ comportaient une dimension technique présente dans d’autres fonctions, notamment celle de régisseur technique, sans que cette circonstance soit pour autant constitutive d’inégalité de traitement, puisque lesdites activités s’en distinguaient par ailleurs par leur dimension artistique. La fondation et le conseil administratif disposaient, partant, d’un motif objectif valable pour attribuer les collaborateurs travaillant à la régie de scène au personnel artistique visé par l’art. 10 al. 2 ch. 4 in fine du Statut. 10) Les rapports de travail de la recourante ont donc été soumis à bon droit au droit privé. Les prétentions pécuniaires que Mme X______ déduit de ces rapports et que la fondation a rejetées par décision du 20 avril 2011 échappent, en conséquence, à la compétence de la chambre administrative. La même conclusion aurait par ailleurs dû être tirée si les activités de Mme X______ s’étaient avérées purement techniques. Dans cette hypothèse également, ses rapports de travail auraient en effet pu être soumis au droit privé en vertu de l’art. 2 du SPAM, dans la mesure où la recourante a toujours été engagée pour des périodes déterminées et en regard de certains spectacles, afin de renforcer, aux côtés d’autres collaborateurs coutumiers de telles missions temporaires, le personnel permanent du GTG. 11) Au vu de ce qui précède, le recours sera donc déclaré irrecevable. Il ne sera pas transmis d’office à la juridiction compétente, celle-ci n’étant pas une juridiction administrative au sens de l’art. 6 LPA (art. 64 al. 2 LPA). Dans la mesure où la compétence de la chambre des prud’hommes de la Cour de justice n’entre pas en ligne de compte s’agissant d’une juridiction de seconde instance, il ne sera de même pas fait application de l’art. 118A LOJ. Un émolument de CHF 500.- sera mis à la charge de Mme X______ qui succombe (art. 87 al. 1 LPA). Deux des témoins entendus lors de l’instruction conjointe de la présente cause et de la cause n° A/1492/11 ayant en outre demandé à être indemnisés, il se justifie également de mettre à la charge de la recourante l’une des deux indemnités de CHF 180.- qui ont dû être versées auxdits témoins (art. 1 et 3 du règlement sur les frais, émoluments et indemnités en procédure administrative du 30 juillet 1986 - RFPA - E 5 10.03). Aucune indemnité de procédure ne sera enfin allouée à Mme X______, pas plus qu’à la fondation, puisque celle-ci n’a pas engagé de frais particuliers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