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A/148/2024 vom 16. April 2024</w:t>
      </w:r>
    </w:p>
    <w:p>
      <w:r>
        <w:t>GE Cour de justice, 2024-04-16, FR</w:t>
      </w:r>
    </w:p>
    <w:p>
      <w:r>
        <w:rPr>
          <w:b/>
        </w:rPr>
        <w:t xml:space="preserve">Quelle: </w:t>
      </w:r>
      <w:r>
        <w:t>https://mcp.opencaselaw.ch/entscheid/ge_gerichte_A_148_2024</w:t>
      </w:r>
    </w:p>
    <w:p>
      <w:r>
        <w:t>FR: GE_GERICHTE A/148/2024 du 16 avril 2024</w:t>
      </w:r>
    </w:p>
    <w:p>
      <w:r>
        <w:t>IT: GE_GERICHTE A/148/2024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se plaint d’une violation de son droit d’être entendue, l’autorité intimée n’ayant pas fait cas de ses demandes de confrontation avec les quatre collègues qui prétendaient rencontrer des difficultés avec elle et ne lui ayant pas permis de s’exprimer avant la décision entreprise au sujet de l’incident des chaussures.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w:t>
      </w:r>
    </w:p>
    <w:p>
      <w:r>
        <w:rPr>
          <w:b/>
        </w:rPr>
        <w:t>E. 2.2</w:t>
      </w:r>
    </w:p>
    <w:p>
      <w:r>
        <w:t>En l’espèce, la recourante a été entendue à plusieurs reprises sur les griefs de ses collègues ou de tiers. Contrairement à ce qu'elle soutient, elle n'avait, en procédure non contentieuse, pas un droit à être confrontée à ses collègues, mais bien celui de se déterminer sur les éléments recueillis par sa hiérarchie au sujet des difficultés rencontrées par celle-ci avec ses collègues. La recourante s’est longuement exprimée par écrit à ce sujet avant même l’entretien de service. À l’occasion de celui-ci, elle a pu faire valoir ses arguments par écrit, en raison de son arrêt de travail, alors qu’elle était nantie de tous les griefs, excepté l’incident qu’elle nomme « des chaussures ». Elle a pu également s’exprimer par écrit devant la chambre de céans et produire toutes pièces utiles et n’expose pas en quoi ses défaillances dans l’accompagnement d’un résident en transport public n’auraient pas pu être correctement expliquées ni quelle autre justification une connaissance antérieure de cet incident lui aurait permis d’apporter. Les parties ont eu en outre l’occasion lors des échanges d’écritures de se déterminer de manière circonstanciée sur les prises de position de leur partie adverse. Le droit d’être entendue de la recourante a ainsi été respecté. La chambre de céans considère ainsi être en possession d’un dossier complet, en état d’être jugé et ce premier grief sera donc écarté.</w:t>
      </w:r>
    </w:p>
    <w:p>
      <w:r>
        <w:rPr>
          <w:b/>
        </w:rPr>
        <w:t>E. 3</w:t>
      </w:r>
    </w:p>
    <w:p>
      <w:r>
        <w:t>Le litige porte sur le bien-fondé de la décision de résiliation des rapports de service de la recourante.</w:t>
      </w:r>
    </w:p>
    <w:p>
      <w:r>
        <w:rPr>
          <w:b/>
        </w:rPr>
        <w:t>E. 3.1</w:t>
      </w:r>
    </w:p>
    <w:p>
      <w:r>
        <w:t>Les rapports de travail entre les EPI et son personnel sont régis par la loi générale relative au personnel de l’administration cantonale et des établissements publics médicaux du 24 février 1999 (LPAC - B 5 05), son règlement d’application (RPAC - B 5 05.01) et la loi sur l’intégration des personnes handicapées du 16 mai 2003 (LIPH - K 1 36).</w:t>
      </w:r>
    </w:p>
    <w:p>
      <w:r>
        <w:rPr>
          <w:b/>
        </w:rPr>
        <w:t>E. 3.2</w:t>
      </w:r>
    </w:p>
    <w:p>
      <w:r>
        <w:t>La recourante étant, au moment des faits, employée, il convient d’examiner si son licenciement est conforme aux règles applicables à la résiliation des rapports de service avec ce statut.</w:t>
      </w:r>
    </w:p>
    <w:p>
      <w:r>
        <w:rPr>
          <w:b/>
        </w:rPr>
        <w:t>E. 3.3</w:t>
      </w:r>
    </w:p>
    <w:p>
      <w:r>
        <w:t>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 L’art. 5A let. e du règlement d'application de la LTrait du 17 octobre 1979 (RTrait - B 5 15.01) précise que la période probatoire de deux ans peut être prolongée exceptionnellement d’un an au maximum en cas de prestations insuffisantes.</w:t>
      </w:r>
    </w:p>
    <w:p>
      <w:r>
        <w:rPr>
          <w:b/>
        </w:rPr>
        <w:t>E. 3.4</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 ATA/1620/2017 du 19 décembre 2017 consid. 6c et les arrêts cités).</w:t>
      </w:r>
    </w:p>
    <w:p>
      <w:r>
        <w:rPr>
          <w:b/>
        </w:rPr>
        <w:t>E. 3.5</w:t>
      </w:r>
    </w:p>
    <w:p>
      <w:r>
        <w:t>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 ATA/1008/2017 du 27 juin 2017 consid. 5c et les arrêts cités).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 La loi ne prévoit pas d'autres conditions pour le licenciement d'employés. En particulier, contrairement aux fonctionnaires, elle ne requiert pas l’existence d'un motif fondé (art. 21 al. 1 LPAC ; art. 21 al. 3 et 22 a contrario LPAC), ni le respect du principe de reclassement (art. 21 al. 3 in fine LPAC et 46A RPAC ; ATA/590/2016 du 12 juillet 2016 consid. 4b et les références citées).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rPr>
          <w:b/>
        </w:rPr>
        <w:t>E. 3.6</w:t>
      </w:r>
    </w:p>
    <w:p>
      <w:r>
        <w:t>En l’espèce, la recourante affirme que les faits sont établis faussement, qu’ils concernent un tiers non identifié et que son licenciement viole le principe de la proportionnalité. Il ressort toutefois du dossier que si, sur le plan technique, la recourante donnait la plupart du temps satisfaction, tel n’était pas le cas de son comportement, de son savoir-être, de sa communication et de son attitude à l’égard de ses collègues, des résidents et de leurs parents. Peu importe que les premières évaluations de la recourante aient été positives, les carences de communication et de comportement apparues courant 2023 étant déterminantes. Or, cette dernière année a été émaillée de plusieurs incidents rapportés à la hiérarchie de la recourante qui ont conduit à des entretiens de recadrage et de fixations d’objectifs. À chaque fois, la recourante n’est pratiquement pas entrée en matière sur les reproches formulés et a développé de longs arguments captieux, prétendant que sa hiérarchie se trompait de cible ou que des tiers s’acharnaient sur elle, sans en démontrer la réalité ou les raisons. Or, le dossier révèle des difficultés de communication et une attention insuffisante lors de l’accompagnement d’un résident à même de permettre à l’autorité intimée d’en inférer que les chances de succès d’une collaboration future ne pouvaient plus être considérées favorablement et qu’il y avait lieu d’y mettre fin. Plus encore et plus grave, la recourante persiste à contester avoir rédigé le témoignage des parents de F______ alors que tout l’accable, de la calligraphie de ce texte à la déposition de la mère de cette résidente. Ce seul fait était de nature à rompre le lien de confiance entre les parties et justifiait la décision de l’autorité intimée. Au vu de ce qui précède, les reproches sont fondés et le licenciement prononcé s’imposait pour les besoins du service et sa bonne marche et a été prononcé sans arbitraire ni violation de la loi et du principe de la proportionnalité. Entièrement mal fondé, le recours sera rejeté.</w:t>
      </w:r>
    </w:p>
    <w:p>
      <w:r>
        <w:rPr>
          <w:b/>
        </w:rPr>
        <w:t>E. 4</w:t>
      </w:r>
    </w:p>
    <w:p>
      <w:r>
        <w:t>Vu l’issue du litige, un émolument de CHF 1'000.- sera mis à la charge de la recourante,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