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A/148/2023 vom 21. Januar 2025</w:t>
      </w:r>
    </w:p>
    <w:p>
      <w:r>
        <w:t>GE Cour de justice, 2025-01-21, FR</w:t>
      </w:r>
    </w:p>
    <w:p>
      <w:r>
        <w:rPr>
          <w:b/>
        </w:rPr>
        <w:t xml:space="preserve">Quelle: </w:t>
      </w:r>
      <w:r>
        <w:t>https://mcp.opencaselaw.ch/entscheid/ge_gerichte_A_148_2023</w:t>
      </w:r>
    </w:p>
    <w:p>
      <w:r>
        <w:t>FR: GE_GERICHTE A/148/2023 du 21 janvier 2025</w:t>
      </w:r>
    </w:p>
    <w:p>
      <w:r>
        <w:t>IT: GE_GERICHTE A/148/2023 del 21 gennaio 2025</w:t>
      </w:r>
    </w:p>
    <w:p>
      <w:pPr>
        <w:pStyle w:val="Heading2"/>
      </w:pPr>
      <w:r>
        <w:t>Erwägungen</w:t>
      </w:r>
    </w:p>
    <w:p>
      <w:r>
        <w:rPr>
          <w:b/>
        </w:rPr>
        <w:t>E. 4</w:t>
      </w:r>
    </w:p>
    <w:p>
      <w:r>
        <w:t>Le recourant reproche à l'AFC-GE de n'avoir ni fait droit à sa demande d'expertise de la valeur vénale du bien immobilier ni permis qu'il se détermine sur l'estimation des biens immobiliers à laquelle elle a procédé. Il invoque à cet égard la violation de la maxime d'office et du droit à la preuve.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142 III 48 consid. 4.1.1).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w:t>
      </w:r>
    </w:p>
    <w:p>
      <w:r>
        <w:rPr>
          <w:b/>
        </w:rPr>
        <w:t>E. 4.2</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rPr>
          <w:b/>
        </w:rPr>
        <w:t>E. 4.3</w:t>
      </w:r>
    </w:p>
    <w:p>
      <w:r>
        <w:t>En l'occurrence, il ressort du dossier que l'AFC-GE avait retenu dans les bordereaux fiscaux notifiés au recourant la valeur de CHF 1'780'000.- pour les biens immobiliers en cause, valeur que le recourant avait contestée, conduisant celle-là à procéder, dans le cadre de la procédure de décision de réclamation, à une nouvelle estimation arrêtée à CHF 1'375'000.-. Or, comme il sera vu plus en détail ci-après, le recourant n’a pas déposé de nouvelle demande d'expertise de ses biens immobiliers avant le 31 décembre 2011 ; aussi et surtout, les 21 mars et 25 mai 2018, l'AFC-GE a demandé en vain au recourant de lui fournir le détail des lots et de leur valeur. De même, faisant suite à la contestation de l'estimation attribuée aux biens immobiliers en cause dans les bordereaux fiscaux, celle-là a demandé les 28 mars et 10 mai 2022 à celui-ci, dans le cadre de l'instruction de la réclamation de lui remettre un rapport d'expertise détaillé de leur valeur vénale, ce à quoi ce dernier a répondu qu'il était difficile de définir cette valeur onze ans après le transfert. Dans ces conditions, on doit retenir que le TAPI n’avait pas à ordonner une expertise. Le grief sera ainsi écarté.</w:t>
      </w:r>
    </w:p>
    <w:p>
      <w:r>
        <w:rPr>
          <w:b/>
        </w:rPr>
        <w:t>E. 5</w:t>
      </w:r>
    </w:p>
    <w:p>
      <w:r>
        <w:t>Le recourant invoque – pour la première fois devant la chambre de céans – la violation du principe de la bonne foi.</w:t>
      </w:r>
    </w:p>
    <w:p>
      <w:r>
        <w:rPr>
          <w:b/>
        </w:rPr>
        <w:t>E. 5.1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1C_237/2023 du 3 avril 2024 consid. 4.1). De ce principe découle notamment le droit de toute personne à la protection de sa bonne foi dans ses relations avec l'État, consacré à l'art. 9 in fine Cst. (ATF 138 I 49 consid. 8.3.1 ; arrêt du Tribunal fédéral 1C_237/2023 du 3 avril 2024 consid. 4.1). L'art. 9 in fine Cst. protège le citoyen dans la confiance légitime qu'il met dans les assurances reçues des autorités, lorsqu'il a réglé sa conduite d'après des décisions, des déclarations ou un comportement déterminé de l'administration et qu'il a pris sur cette base des dispositions qu'il ne saurait modifier sans subir de préjudice (ATF 137 I 69 consid. 2.5.1 ; arrêt du Tribunal fédéral 1C_626/2019 du 8 octobre 2020 consid. 3.1). Le principe de la confiance, découlant de celui de la bonne foi, commande également à l'administration d'adopter un comportement cohérent et dépourvu de contradiction (ATF 111 V 81 consid. 6 ; arrêt du Tribunal fédéral 1C_500/2020 du 11 mars 2021 consid. 3.4.1 ; ATA/259/2024 du 27 février 2024 consid. 5.1).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137 II 182 consid. 3.6.2 ; arrêt du Tribunal fédéral 2C_461/2021 du 19 janvier 2022 consid. 5.1). Ainsi, le contribuable ne peut bénéficier d'un traitement dérogeant à la loi que si les conditions mentionnées ci‑dessus - qui doivent être interprétées de façon stricte - sont remplies de manière claire et sans équivoque (arrêts du Tribunal fédéral 2C_461/2021 du 19 janvier 2022 consid. 5.1 ; 2C_603/2012 et 2C_604/2012 du 10 décembre 2012 consid. 4 ; ATA/259/2024 du 27 février 2024 consid. 5.1). Ce n'est que si le fisc promet expressément un certain traitement fiscal que peut se poser la question de la bonne foi (ATF 147 II 155 consid. 10.5.1 et les références citées ; ATA/1127/2024 du 24 septembre 2024 consid. 2.8 ; ATA/259/2024 du 27 février 2024 consid. 5.1).</w:t>
      </w:r>
    </w:p>
    <w:p>
      <w:r>
        <w:rPr>
          <w:b/>
        </w:rPr>
        <w:t>E. 5.2</w:t>
      </w:r>
    </w:p>
    <w:p>
      <w:r>
        <w:t>En l'espèce, le recourant se prévaut du fait qu’un membre du personnel de l'AFC-GE aurait confirmé que le transfert d'un bien immobilier commercial dans la fortune privée se faisait au moment de la vente et non pas au moment de la répartition interne décidée par les associés de la société simple. Quand bien même une telle déclaration serait avérée – ce qui n’est nullement le cas, le recourant ne fournissant aucune pièce à cet égard ni ne donnant aucun détail concret sur les circonstances dans lesquelles le renseignement allégué aurait été donné –, on ne saurait retenir qu’il s’agisse là d’une promesse expresse d’un certain traitement fiscal de la part de l’intimée. Le grief sera ainsi écarté.</w:t>
      </w:r>
    </w:p>
    <w:p>
      <w:r>
        <w:rPr>
          <w:b/>
        </w:rPr>
        <w:t>E. 6</w:t>
      </w:r>
    </w:p>
    <w:p>
      <w:r>
        <w:t>Le recourant conteste l'évaluation de ses biens immobiliers à CHF 1'375'000.-, prise en compte dans sa taxation 2011.</w:t>
      </w:r>
    </w:p>
    <w:p>
      <w:r>
        <w:rPr>
          <w:b/>
        </w:rPr>
        <w:t>E. 6.1</w:t>
      </w:r>
    </w:p>
    <w:p>
      <w:r>
        <w:t>Selon l’art. 13 al. 1 LHID, l’impôt sur la fortune a pour objet l’ensemble de la fortune nette. Celle-ci est estimée en principe à la valeur vénale, la valeur de rendement pouvant être prise en compte de façon appropriée (art. 14 al. 1 LHID). 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 arrêt du Tribunal fédéral 2C_194/2018 du 1 er octobre 2018 consid. 5.1). Dans le canton de Genève, la LIPP précise que l’état de la fortune mobilière et immobilière est établi au 31 décembre de l’année pour laquelle l’impôt est dû (art. 49 al. 1 LIPP). La fortune est estimée, en général, à la valeur vénale (art.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 du Tribunal fédéral 2C_442/2012 du 14 décembre 2012 consid. 4.4). La valeur vénale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ATA/394/2008 du 29 juillet 2008 consid. 4b). L’art. 50 LIPP établit les principes d’évaluation des immeubles situés dans le canton, qui ont été jugés conformes à l’art. 14 LHID (ATF 134 II 2017 consid. 3 ; arrêt du Tribunal fédéral 2C_194/2018 du 1 er octobre 2018 consid. 5.3). Selon l'art. 50 let. e LIPP, les « autres immeubles », parmi lesquels figurent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w:t>
      </w:r>
    </w:p>
    <w:p>
      <w:r>
        <w:rPr>
          <w:b/>
        </w:rPr>
        <w:t>E. 6.2</w:t>
      </w:r>
    </w:p>
    <w:p>
      <w:r>
        <w:t>Selon une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ATA/223/2019 du 5 mars 2019 consid. 6 ; ATA/71/2018 du 23 janvier 2018 consid. 7b ; ATA/45/2018 du 16 janvier 2018 consid. 4b).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ATA/45/2018 précité consid. 4b ; ATA/960/2014 consid. 5b ; RDAF 2000 II p. 280). La notion de « changements importants » de la valeur d'un immeuble doit être interprétée de manière restrictive. Elle ne couvre que les changements objectifs, matériels et importants dans la valeur de la propriété. Tel n'est notamment pas le cas des modifications conjoncturelles du marché immobilier ( ATA/71/2018 précité consid. 7b ; ATA/618/2014 du 12 août 2014 consid. 2e). Le Tribunal fédéral a déjà jugé qu'une stricte application des règles de procédure, notamment celles relatives aux délais, était justifiée par des motifs d'égalité de traitement et par un intérêt public lié à une bonne administration de la justice et à la sécurité du droit. Il a dès lors nié tout formalisme excessif en lien avec le délai pour demander l'expertise du bien (arrêts du Tribunal fédéral 2C_120/2022 du 10 juin 2022 consid. 4 ; 2C_734/2008 précité consid. 6.2).</w:t>
      </w:r>
    </w:p>
    <w:p>
      <w:r>
        <w:rPr>
          <w:b/>
        </w:rPr>
        <w:t>E. 6.3</w:t>
      </w:r>
    </w:p>
    <w:p>
      <w:r>
        <w:t>En matière fiscale, les règles générales relatives à la répartition du fardeau de la preuve ancrées à l'art. 8 du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 Il appartient à l'autorité de démontrer l'existence d'éléments créant ou augmentant la charge fiscale, tandis que le contribuable doit supporter le fardeau de la preuve des éléments qui réduisent ou éteignent son obligation d'impôts.</w:t>
      </w:r>
    </w:p>
    <w:p>
      <w:r>
        <w:rPr>
          <w:b/>
        </w:rPr>
        <w:t>E. 6.4</w:t>
      </w:r>
    </w:p>
    <w:p>
      <w:r>
        <w:t>En l'espèce, le TAPI a constaté que la valeur déterminante arrêtée par l'intimée correspondait à la valeur vénale de l'appartement fixée à CHF 1'345'000.- et à celle de la place de stationnement à CHF 30'000.-. Pour aboutir à ces montants, l'AFC‑GE, soit plus précisément son service d'évaluation compétent, avait fixé la valeur vénale des lots n os 103 et 106 à CHF 7'500.-/m 2 , sur la base de l'ensemble des ventes PPE faites dans le canton en 2011, puis avait procédé à une pondération de cette valeur de 10%, la réduisant ainsi à CHF 6'750.- /m 2 . En tant qu'une telle évaluation reposait sur les prix obtenus pour d'autres propriétés de même nature qui se trouvaient dans des conditions analogues, c'est à juste titre que le TAPI a jugé qu'elle était conforme à l'art. 50 let. e LIPP. Le fait que la valeur fiscale retenue résulte d'une modification de la valeur initialement arrêtée dans les premiers bordereaux fiscaux ne change rien à cette conclusion, pas plus que la volonté du recourant de vouloir substituer sa propre estimation à celle de l'intimée, sans démontrer en quoi cette dernière serait contraire au droit. Il ne peut non plus se prévaloir du transfert des biens immobiliers en cause dans sa fortune privée pour contester la détermination de la valeur vénale à laquelle a procédé l'intimée, comme il sera examiné ci-après. Le recourant ne conteste pas ne pas avoir déposé une nouvelle demande d'expertise de ses biens immobiliers avant le 31 décembre 2011, puisqu'il ressort du dossier qu'une telle demande n'a été formulée que dans sa réplique devant le TAPI, contrairement à la jurisprudence citée. Il n'est donc pas fondé à se prévaloir de la violation de son droit d'être entendu et encore moins du formalisme excessif, dès lors que sa demande était tardive ( ATA/1401/2021 du 21 du décembre 2021 consid. 4, confirmé par l'arrêt du Tribunal fédéral 2C_120/2022 du 10 juin 2022, consid. 4). Il apparaît également que, les 21 mars et 25 mai 2018, l'AFC-GE a demandé en vain au recourant de lui fournir le détail des lots et de leur valeur. De même, faisant suite à la contestation de l'estimation attribuée aux biens immobiliers en cause dans les bordereaux fiscaux, celle-là a demandé les 28 mars et 10 mai 2022 à celui-ci, dans le cadre de l'instruction de la réclamation de lui remettre un rapport d'expertise détaillé de leur valeur vénale, ce à quoi ce dernier a répondu qu'il était difficile de définir cette valeur onze ans après le transfert. En ne répondant pas aux demandes de rapport d'expertise émanant de l'AFC-GE, le recourant qui ne s'est ainsi pas conformé aux exigences de répartition du fardeau en matière fiscale a ainsi échoué à apporter la preuve de la réduction de sa charge fiscale. Partant, il doit s'accommoder de la valeur fiscale retenue par l'intimée. Mal fondé, le grief sera écarté.</w:t>
      </w:r>
    </w:p>
    <w:p>
      <w:r>
        <w:rPr>
          <w:b/>
        </w:rPr>
        <w:t>E. 7</w:t>
      </w:r>
    </w:p>
    <w:p>
      <w:r>
        <w:t>Le recourant conteste l'imposition en son chef pour l'exercice 2011 des biens immobiliers en cause à leur valeur vénale et demande à être au bénéfice d'un report d'imposition.</w:t>
      </w:r>
    </w:p>
    <w:p>
      <w:r>
        <w:rPr>
          <w:b/>
        </w:rPr>
        <w:t>E. 7.1</w:t>
      </w:r>
    </w:p>
    <w:p>
      <w:r>
        <w:t>En principe,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(art. 18 al. 2 LIFD). Il existe une disposition similaire pour l'ICC (art. 8 al. 1 LHID ; art. 19 al. 2 LIPP). L'art. 18 al. 3 LIFD précise que l'art. 58 LIFD, régissant le bénéfice net imposable des personnes morales, s'applique par analogie aux contribuables qui tiennent une comptabilité en bonne et due forme. Une disposition équivalente existe en matière d'ICC (art. 19 al. 4 phr. 1 LIPP).</w:t>
      </w:r>
    </w:p>
    <w:p>
      <w:r>
        <w:rPr>
          <w:b/>
        </w:rPr>
        <w:t>E. 7.2</w:t>
      </w:r>
    </w:p>
    <w:p>
      <w:r>
        <w:t>Le passage de la fortune commerciale à la fortune privée constitue un cas de réalisation systématique. Il déclenche l'imposition des réserves latentes alors qu'il n'y a pas de changement de propriétaire sur le plan civil (Yves NOËL, in Yves NOËL/Florence AUBRY GIRARDIN [éd.], Commentaire romand, Impôt fédéral direct, 2017, n. 76 ad art. 18 LIFD). Le moment déterminant pour le passage de la fortune commerciale à la fortune privée selon l'art. 18 al. 2 LIFD est celui où le contribuable manifeste de manière claire et précise, expressément ou par actes concluants, à l’égard des autorités fiscales sa volonté de transférer l'élément en cause dans sa fortune privée (ATF 125 II 113 consid. 6c ; arrêt du Tribunal fédéral 2C_851/2015 et 2C_852/2015 du 3 juin 2016 consid. 4.2). Dans le cadre d'une transformation d'une entreprise individuelle en société à responsabilité limitée, le Tribunal fédéral a récemment jugé qu'une telle volonté peut découler du fait que des biens de l'entreprise individuelle ne sont pas repris dans la nouvelle société, ce qui implique – par acte concluant – un passage de ceux-ci dans la fortune privée du propriétaire (arrêt du Tribunal fédéral 2C_370/2014 du 9 février 2015 consid. 7.2).</w:t>
      </w:r>
    </w:p>
    <w:p>
      <w:r>
        <w:rPr>
          <w:b/>
        </w:rPr>
        <w:t>E. 7.3</w:t>
      </w:r>
    </w:p>
    <w:p>
      <w:r>
        <w:t>L'art. 58 al. 1 let. a LIFD énonce le principe de l'autorité du bilan commercial (ou principe de déterminance), selon lequel le bilan commercial est déterminant en droit fiscal. Le principe de déterminance déploie aussi un effet contraignant pour le contribuable. En effet, celui-ci est lié par son mode de comptabilisation et seules les écritures ressortant des comptes sont décisives (Robert DANON, in Yves NOËL/Florence AUBRY GIRARDIN [éd.], op cit. , n. 51 ad art. 57-58).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et impôt sur le bénéfice, vol. 2, 2005, p. 89).</w:t>
      </w:r>
    </w:p>
    <w:p>
      <w:r>
        <w:rPr>
          <w:b/>
        </w:rPr>
        <w:t>E. 7.4</w:t>
      </w:r>
    </w:p>
    <w:p>
      <w:r>
        <w:t>Aux termes de l'art. 18a al. 1 LIFD et 19A al. 1 LIPP,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w:t>
      </w:r>
    </w:p>
    <w:p>
      <w:r>
        <w:rPr>
          <w:b/>
        </w:rPr>
        <w:t>E. 7.5</w:t>
      </w:r>
    </w:p>
    <w:p>
      <w:r>
        <w:t>Selon la Circulaire n° 26 sur les nouveautés concernant l'activité lucrative indépendante suite à l'adoption de la loi sur la réforme de l'imposition des entreprises II, édictée le 16 décembre 2009 et entrée en vigueur le 1 er janvier 2011 (ci- après : la circulaire n° 26), le différé n’est possible que pour les immeubles que le travailleur indépendant possède dans son actif immobilisé, et non pour ceux de son actif circulant (commerce professionnel d’immeuble). Pour qualifier un bien d'actif immobilisé, il convient de se référer à son affectation dans l'entreprise ainsi qu'au caractère durable de l'investissement réalisé. Un actif immobilisé est en effet acquis en vue d'un usage répété et non dans le but d'une revente. Il s'oppose ainsi à l'actif circulant, qui est acheté et revendu constamment. Les biens immobiliers d'une promotion immobilière en cours constituent des actifs circulants et l'imposition différée n'est donc pas possible (Bastien VERREY, in Yves NOËL/Florence AUBRY GIRARDIN [éd.], op. cit., n. 9 ad art. 18a LIFD, p. 351).</w:t>
      </w:r>
    </w:p>
    <w:p>
      <w:r>
        <w:rPr>
          <w:b/>
        </w:rPr>
        <w:t>E. 7.6</w:t>
      </w:r>
    </w:p>
    <w:p>
      <w:r>
        <w:t>Selon la jurisprudence, il y a lieu de distinguer trois types de biens immobiliers : ceux faisant partie de l'actif circulant, destinés à la revente et considérés comme des marchandises, les immeubles d'exploitation servant directement à l'exploitation commerciale de l'entreprise (actifs immobilisés) et, enfin, les immeubles de placement, qui ne servent qu'indirectement l'entreprise, par le rendement qu'ils lui procurent (arrêts du Tribunal fédéral 2C_50/2011 du 16 mai 2011 et 2C_107/2011 du 2 avril 2012 = RDAF 2012 II 539 ). Le Tribunal fédéral a, dans ces arrêts, admis qu'en général, le commerçant professionnel d'immeubles ne dispose pas d'immeubles pouvant être qualifiés d'actifs immobilisés ou de placement et qu’il s’agissait plutôt d'actifs circulants (arrêt du Tribunal fédéral 2C_107/2011 précité consid. 3.2), comme le prévoit du reste la circulaire (circulaire n° 26, ch. 2.1).</w:t>
      </w:r>
    </w:p>
    <w:p>
      <w:r>
        <w:rPr>
          <w:b/>
        </w:rPr>
        <w:t>E. 7.7</w:t>
      </w:r>
    </w:p>
    <w:p>
      <w:r>
        <w:t>En l'espèce, il n'est pas contesté que les biens immobiliers litigieux faisaient partie de la fortune commerciale de la promotion immobilière. Or, il ressort clairement du contrat de société simple que les parties contractantes prévoyaient l'attribution de l'appartement n° 106 au recourant. Il convient dès lors de déterminer si le bien immobilier a été prélevé par le recourant, afin de connaître le moment du passage du bien dans la fortune privée. Il apparaît à la lecture des comptes 2011 de la promotion immobilière annexés à la déclaration fiscale 2011 du recourant que ceux-ci faisaient état de l'attribution d'un appartement à la valeur comptable de CHF 200'000.- (lots n os 103 et 106) au recourant. Dès lors, bien que le contrat de société simple contînt déjà une clause relative au transfert de l'appartement au recourant, ce n'est que le 31 décembre 2011 au plus tard que l'intéressé, par acte concluant, a manifesté de manière reconnaissable pour l'autorité fiscale que l'immeuble en question, qui ne figurait plus dans les actifs de la promotion immobilière au 31 décembre 2011, passait dans sa fortune privée. Le fait que le recourant ait porté l'appartement litigieux à la valeur de revient dans les comptes de la promotion immobilière ne suffit pas à remettre en cause cette conclusion. Ainsi, c'est à juste titre que le TAPI a confirmé qu'on était en présence d'un cas de réalisation systématique qui ouvrait la voie à l'imposition des réserves latentes au titre de bénéfice relatif au passage de l'immeuble litigieux dans la fortune privée du recourant. Ce dernier ne peut se prévaloir de l'imposition différée de ces réserves latentes. En tant qu'il est indiscutable que le bien immobilier concerné faisait partie de l'actif circulant de la promotion immobilière, conformément à la jurisprudence précitée, l'une des conditions nécessaires au report de l'imposition en cas de transfert d'un immeuble de la fortune commerciale à la fortune privée n'est pas remplie. Partant, les dispositions de l'art. 18a al. 1 LIFD et 19A al. 1 LIPP ne sont pas applicables au présent cas. Il résulte de ce qui précède que le jugement du TAPI ne prête pas le flanc à la critique. Entièrement infondé, le recours sera rejeté.</w:t>
      </w:r>
    </w:p>
    <w:p>
      <w:r>
        <w:rPr>
          <w:b/>
        </w:rPr>
        <w:t>E. 8</w:t>
      </w:r>
    </w:p>
    <w:p>
      <w:r>
        <w:t>Au vu de l'issue du litige, un émolument de CHF 700.- sera mis à la charge du recourant, qui succombe (art. 87 al. 1 LPA) et ne peut dès lors se voir allouer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