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A/1488/2024 vom 29. Oktober 2024</w:t>
      </w:r>
    </w:p>
    <w:p>
      <w:r>
        <w:t>GE Cour de justice, 2024-10-29, FR</w:t>
      </w:r>
    </w:p>
    <w:p>
      <w:r>
        <w:rPr>
          <w:b/>
        </w:rPr>
        <w:t xml:space="preserve">Quelle: </w:t>
      </w:r>
      <w:r>
        <w:t>https://mcp.opencaselaw.ch/entscheid/ge_gerichte_A_1488_2024</w:t>
      </w:r>
    </w:p>
    <w:p>
      <w:r>
        <w:t>FR: GE_GERICHTE A/1488/2024 du 29 octobre 2024</w:t>
      </w:r>
    </w:p>
    <w:p>
      <w:r>
        <w:t>IT: GE_GERICHTE A/1488/2024 del 29 ottobre 2024</w:t>
      </w:r>
    </w:p>
    <w:p>
      <w:pPr>
        <w:pStyle w:val="Heading2"/>
      </w:pPr>
      <w:r>
        <w:t>Regeste</w:t>
      </w:r>
    </w:p>
    <w:p>
      <w:r>
        <w:t>PROTECTION DE LA PERSONNALITÉ;PROTECTION DES DONNÉES;DONNÉES SENSIBLES;CONSERVATION(EN GÉNÉRAL);PRÉPOSÉ À LA PROTECTION DES DONNÉES;POUVOIR D'APPRÉCIATION;PROPORTIONNALITÉ;EXACTITUDE;FICHIER DE DONNÉES;SUPPRESSION(EN GÉNÉRAL);PERSONNE CONCERNÉE(EN GÉNÉRAL) | La main courante querellée ne contient aucune donnée personnelle sensible de la recourante mais relate, au conditionnel, les propos des personnes présentes lors de l’intervention à son domicile, sans aucune valeur de vérification objective. S’agissant de l’exactitude ou non des propos qui y figurent, ce document n’a pas de valeur probante, contrairement par exemple à un procès-verbal d’audition. La main courante n’a pas pour but de constater l’exactitude des déclarations des personnes présentes, singulièrement celles prêtées à la recourante, étant relevé qu’aucun des propos résumés ne se rapporte à des données sensibles telles les convictions ou opinions religieuses, politiques ou syndicales de la recourante ou des informations relatives à son état de santé. Les termes contestés ne sont pas imputés à la recourante. La seule préoccupation relative à l’état psychique de la recourante, sans autre précision, exprimée par les agents de police s’étant rendus sur place, ne constitue pas une donnée personnelle au sens de l’art. 4 let. b ch. 2 LIPAD. Derechef, il s’agit là d’une appréciation qui n’en établit pas l’exactitude, comme le ferait un certificat médical. | Cst.10.al2; Cst-GE.13.al2; LCBVM.1.al1; LPol.1; LCBVM.1a; LCBVM.3a.al1; LCBVM.3b.al1; LIPAD.1; LIPAD.3.al1.leta; LIPAD.4.letb; LIPAD.4.lete; LIPAD.35; LIPAD.36.al1; LIPAD.47.al1; LIPAD.47.al2.leta; LIPAD.47.al2.letb; LIPAD.49; LIPAD.25; LIPAD.26; LPol.1.al4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conclusions tendant à la remise complète de la main courante sont devenues sans objet au cours de la procédure, la recourante ayant indiqué à la chambre de céans avoir obtenu une copie complète de celle-ci dans le cadre d’une procédure pénale.</w:t>
      </w:r>
    </w:p>
    <w:p>
      <w:r>
        <w:rPr>
          <w:b/>
        </w:rPr>
        <w:t>E. 3</w:t>
      </w:r>
    </w:p>
    <w:p>
      <w:r>
        <w:t>Seule demeure litigieuse la question de savoir si la recourante peut obtenir la radiation d’informations figurant dans la main courante qu’elle estime inexactes et portant atteinte à sa personne et sa réputation.</w:t>
      </w:r>
    </w:p>
    <w:p>
      <w:r>
        <w:rPr>
          <w:b/>
        </w:rPr>
        <w:t>E. 3.1</w:t>
      </w:r>
    </w:p>
    <w:p>
      <w:r>
        <w:t>L’art. 10 al. 2 de la Constitution fédérale de la Confédération suisse du 18 avril 1999 (Cst. - RS 101) garantit la liberté personnelle et l’art. 13 al. 2 Cst. protège le citoyen contre l’emploi abusif de données personnelles, tout comme l’art. 21 de la Constitution de la République et canton de Genève du 14 octobre 2012 (Cst-GE -A 2 00).</w:t>
      </w:r>
    </w:p>
    <w:p>
      <w:r>
        <w:rPr>
          <w:b/>
        </w:rPr>
        <w:t>E. 3.2</w:t>
      </w:r>
    </w:p>
    <w:p>
      <w:r>
        <w:t>Dans le canton de Genève, la protection des particuliers en matière de dossiers et fichiers de police est assurée par les dispositions de la loi sur les renseignements et les dossiers de police et la délivrance des certificats de bonne vie et mœurs du 29 septembre 1977 (LCBVM - F 1 25) et de la loi sur l’information du public, l’accès aux documents et la protection des données personnelles du 5 octobre 2001 (LIPAD - A 2 08).</w:t>
      </w:r>
    </w:p>
    <w:p>
      <w:r>
        <w:rPr>
          <w:b/>
        </w:rPr>
        <w:t>E. 3.3</w:t>
      </w:r>
    </w:p>
    <w:p>
      <w:r>
        <w:t>À teneur de l’art. 1 al. 1 LCBVM, la police est autorisée à organiser et à gérer des dossiers et fichiers pouvant contenir des renseignements personnels en rapport avec l’exécution de ses tâches, en particulier en matière de répression des infractions ou de prévention des crimes et délits au sens de l’art. 1 de la loi sur la police du 9 septembre 2014 (LPol - F 1 05). Les dossiers et fichiers de police ne peuvent contenir des données personnelles qu’en conformité avec la LIPAD (art. 1 al. 2 LCBVM). À teneur de l'art. 1A LCBVM, les dossiers de police sont rigoureusement secrets. Aucun renseignement contenu dans les dossiers ou fichiers de police ne peut être communiqué à des tiers, à l’exception des autorités désignées par les art. 2, 4 et 6 LCBVM (art. 320 du Code pénal suisse du 21 décembre 1937 - CP - RS 311.0). À l’égard des données personnelles la concernant qui sont contenues dans les dossiers et fichiers de police, toute personne a le droit d’accès et les autres prétentions prévus par la LIPAD (art. 3A al. 1 LCBVM). Les droits et prétentions visés à l’al. 1 peuvent être limités, suspendus ou refusés si un intérêt prépondérant public ou privé l’exige, en particulier l’exécution d’une peine, la prévention efficace des crimes et délits ou la sauvegarde d’intérêts légitimes de tiers (art. 3A al. 2 LCBVM).</w:t>
      </w:r>
    </w:p>
    <w:p>
      <w:r>
        <w:rPr>
          <w:b/>
        </w:rPr>
        <w:t>E. 3.4</w:t>
      </w:r>
    </w:p>
    <w:p>
      <w:r>
        <w:t>La requête d’accès ou d’exercice des autres prétentions de la personne concernée doit être formulée par le requérant en personne ou par son avocat, et être adressée par écrit au commandant de la police (art. 3B al. 1 LCBVM). Il statue sur la requête par voie de décision, qu’il notifie au requérant ou le cas échéant à son avocat (art. 3B al. 3 LCBVM).</w:t>
      </w:r>
    </w:p>
    <w:p>
      <w:r>
        <w:rPr>
          <w:b/>
        </w:rPr>
        <w:t>E. 3.5</w:t>
      </w:r>
    </w:p>
    <w:p>
      <w:r>
        <w:t>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La LIPAD s’applique notamment aux pouvoirs exécutif, législatif et judiciaire cantonaux ainsi qu’à leurs administrations et aux commissions qui en dépendent (art. 3 al. 1 let. a LIPAD).</w:t>
      </w:r>
    </w:p>
    <w:p>
      <w:r>
        <w:rPr>
          <w:b/>
        </w:rPr>
        <w:t>E. 3.6</w:t>
      </w:r>
    </w:p>
    <w:p>
      <w:r>
        <w:t>Par données personnelles ou données, la LIPAD vise toutes les informations se rapportant à une personne physique ou morale de droit privé, identifiée ou identifiable (art. 4 let. a LIPAD). À teneur de la let. b de l’art. 4 LIPAD, les données personnelles sensibles portent sur : 1° les opinions ou activités religieuses, philosophiques, politiques, syndicales ou culturelles, 2° la santé, la sphère intime ou l'appartenance ethnique, 3° des mesures d'aide sociale, 4° des poursuites ou sanctions pénales ou administratives. Par ailleurs,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L'art. 4 let. e LIPAD reprend la définition du droit fédéral (MGC 2005-2006 X A 8495). En droit fédéral, la notion de traitement est entendue dans un sens très large : elle comprend toute opération relative à des données, en particulier chacune des diverses phases du traitement. Elle englobe également la simple conservation des données, voire leur archivage, car même à ces stades du traitement des atteintes à la personnalité sont possibles, par exemple si la sécurité des données laisse à désirer. La communication constitue une forme particulière du traitement, notamment car il est nécessaire d'exemplifier les diverses formes de communication possibles. Il y a communication à chaque fois que des données ont été rendues accessibles d'une manière ou d'une autre. Tel est le cas de l'accès à un fichier au moyen d'une liaison en ligne, de la copie de bandes magnétiques ou, tout simplement, de la transmission de données extraites d'un fichier (FF 1988 II 421 , 455).</w:t>
      </w:r>
    </w:p>
    <w:p>
      <w:r>
        <w:rPr>
          <w:b/>
        </w:rPr>
        <w:t>E. 3.7</w:t>
      </w:r>
    </w:p>
    <w:p>
      <w:r>
        <w:t>Dans la même perspective, l'art. 35 LIPAD prévoit que les institutions publiques ne peuvent traiter des données personnelles que si, et dans la mesure où, l'accomplissement de leurs tâches légales le rend nécessaire (al. 1). Des données personnelles sensibles ne peuvent être traitées que si une loi définit clairement la tâche considérée et si le traitement en question est absolument indispensable à l’accomplissement de cette tâche ou s’il est nécessaire et intervient avec le consentement explicite, libre et éclairé de la personne concernée (al. 2).</w:t>
      </w:r>
    </w:p>
    <w:p>
      <w:r>
        <w:rPr>
          <w:b/>
        </w:rPr>
        <w:t>E. 3.8</w:t>
      </w:r>
    </w:p>
    <w:p>
      <w:r>
        <w:t>Concernant la qualité des données personnelles, l’art. 36 al. 1 LIPAD précise que les institutions publiques veillent, lors de tout traitement de données personnelles, à ce que ces dernières soient : pertinentes et nécessaires à l'accomplissement de leurs tâches légales (let. a) ; exactes et si nécessaire mises à jour et complétées, autant que les circonstances permettent de l’exiger (let. b).</w:t>
      </w:r>
    </w:p>
    <w:p>
      <w:r>
        <w:rPr>
          <w:b/>
        </w:rPr>
        <w:t>E. 3.9</w:t>
      </w:r>
    </w:p>
    <w:p>
      <w:r>
        <w:t>Le fait que la main courante soit un outil permettant à la police d’effectuer son travail ne justifie pas de l’exclure de l’application des dispositions rappelées ci‑dessus. Le journal de bord, bien que n’ayant pas de valeur probante, doit être considéré comme faisant partie du dossier de police ( ATA/622/2018 du 19 juin 2018 consid. 6 ; ATA/9/2018 du 9 janvier 2018 consid. 6).</w:t>
      </w:r>
    </w:p>
    <w:p>
      <w:r>
        <w:rPr>
          <w:b/>
        </w:rPr>
        <w:t>E. 3.10</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(art. 47 al. 2 let. a LIPAD) ou de faire figurer en regard des données dont ni l’exactitude ni l’inexactitude ne peuvent être prouvées, une mention appropriée, à transmettre également lors de leur communication éventuelle (art. 47 al. 2 let. c LIPAD).</w:t>
      </w:r>
    </w:p>
    <w:p>
      <w:r>
        <w:rPr>
          <w:b/>
        </w:rPr>
        <w:t>E. 3.11</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cantonal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w:t>
      </w:r>
    </w:p>
    <w:p>
      <w:r>
        <w:rPr>
          <w:b/>
        </w:rPr>
        <w:t>E. 3.12</w:t>
      </w:r>
    </w:p>
    <w:p>
      <w:r>
        <w:t>Dans une affaire vaudoise tranchée par le Tribunal fédéral, le recourant concluait notamment à la radiation des extraits du journal des événements (ci‑après : JEP) le concernant de son dossier de police judiciaire aux motifs que ces pièces se rapportaient pour les unes à une procédure pénale introduite en 2007 et en 2009 et pour les autres à des interventions de police qui n'avaient abouti à aucune poursuite pénale. Elles n’auraient pas été de nature à faciliter l'accomplissement des tâches de la police et pouvaient avoir un effet stigmatisant et discriminant à son égard. À supposer que ces informations aient encore une utilité d'un point de vue statistique, elles pourraient être conservées sous une forme anonymisée dans le JEP de manière à éviter qu'une relation puisse être faite avec lui. Enfin, en tant qu'ils se rapportaient à des éléments datant d'environ dix ans, les extraits devraient être détruits dès lors que, d'après les informations fournies par le préposé cantonal à la protection des données, la durée de conservation des données dans le JEP était de cinq ans. Selon le Tribunal fédéral, le juge cantonal ne pouvait être suivi lorsqu'il excluait de manière absolue la radiation des événements du JEP au motif que celui-ci se bornerait à retranscrire les interventions policières. Les événements relatés dans le JEP pouvaient contenir des données personnelles sensibles dont le maintien au dossier de police judiciaire devait être soumis aux mêmes règles que les autres données contenues dans des rapports de police, soit à leur utilité potentielle pour la prévention ou la répression des infractions, dans l'intérêt des tiers et des victimes potentielles ou pour l'accomplissement des tâches de police, soit le maintien de la sécurité et de l'ordre publics (arrêt du Tribunal fédéral 1C_580/2019 du 12 juin 2020 consid. 5).</w:t>
      </w:r>
    </w:p>
    <w:p>
      <w:r>
        <w:rPr>
          <w:b/>
        </w:rPr>
        <w:t>E. 3.13</w:t>
      </w:r>
    </w:p>
    <w:p>
      <w:r>
        <w:t>Les documents sont tous les supports d’informations détenus par une institution contenant des renseignements relatifs à l’accomplissement d’une tâche publique, à savoir notamment les messages, rapports, études, procès-verbaux approuvés, statistiques, registres, correspondances, directives, prises de position, préavis ou décisions (art. 25 al. 1 et 2 LIPAD). Les notes à usage personnel ainsi que les brouillons ou autres textes inachevés ne constituent pas des documents (art. 25 al. 4 LIPAD). Les notes échangées entre les membres d’une autorité collégiale ou entre ces derniers et leurs collaborateurs sont exclues du droit d’accès institué par la LIPAD (art. 26 al. 3 LIPAD). S'agissant de l'exception de l'art. 26 al. 3 LIPAD, le Tribunal fédéral a jugé qu'étendre l'application de cette disposition à n'importe quel document, quel qu'en soit le contenu, sous prétexte qu'il aurait été produit à l'intention de l'autorité – en l'occurrence collégiale – dans la perspective d'une prise de décision, allait de manière insoutenable à l'encontre du principe de transparence posé par la loi (arrêt du Tribunal fédéral 1C_277/2016 du 29 novembre 2016 consid. 3.5).</w:t>
      </w:r>
    </w:p>
    <w:p>
      <w:r>
        <w:rPr>
          <w:b/>
        </w:rPr>
        <w:t>E. 3.14</w:t>
      </w:r>
    </w:p>
    <w:p>
      <w:r>
        <w:t>La conservation des données personnelles dans les dossiers de police judiciaire tient à leur utilité potentielle pour la prévention, l'investigation et la répression des infractions pénales (arrêt du Tribunal fédéral 1C_363/2014 du 13 novembre 2014 consid. 2 = SJ 2015 I p. 128 ss). Elle poursuit ainsi des buts légitimes liés à la défense de l'ordre et à la prévention des infractions pénales (ACEDH Khelili c. Suisse du 18 octobre 2011, req. n o 16188/07, § 59 ; arrêt du Tribunal fédéral 1C_363/2014 précité consid. 2). 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précité, § 62 ; S. et Marper c. Royaume-Uni du 4 décembre 2008, req. n o 30562/04, § 103 ; repris in ATA/190/2012 du 3 avril 2012 consid. 6).</w:t>
      </w:r>
    </w:p>
    <w:p>
      <w:r>
        <w:rPr>
          <w:b/>
        </w:rPr>
        <w:t>E. 3.15</w:t>
      </w:r>
    </w:p>
    <w:p>
      <w:r>
        <w:t>Conformément aux exigences découlant des art. 10 al. 2 et 13 al. 2 Cst., dès le moment où des renseignements perdent toute utilité, leur conservation et l'atteinte que celle-ci porte à la personnalité ne se justifient plus ; ils doivent être éliminés (arrêts du Tribunal fédéral 1P.713/2006 du 19 décembre 2006 consid. 2 ; 1P.436/1989 du 12 janvier 1990 consid. 2b in SJ 1990 p. 564 ; ATA/1063/2020 du 27 octobre 2020 consid. 5c).</w:t>
      </w:r>
    </w:p>
    <w:p>
      <w:r>
        <w:rPr>
          <w:b/>
        </w:rPr>
        <w:t>E. 3.16</w:t>
      </w:r>
    </w:p>
    <w:p>
      <w:r>
        <w:t>La question de savoir si les documents et autres pièces litigieuses présentent une utilité pour la prévention ou la répression des infractions et si elles peuvent être conservées au dossier de police judiciaire doit être résolue au regard de toutes les circonstances déterminantes du cas d'espèce (ATF 138 I 256 consid. 5.5 ; arrêt du Tribunal fédéral 1C_51/2008 du 30 septembre 2008 consid. 4.2 in ZBl 110/2009 p. 389).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consid. 5.5 ; arrêt du Tribunal fédéral 1C_307/2015 du 26 novembre 2015 consid. 2). 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(arrêts du Tribunal fédéral 1P.713/2006 précité consid. 3.1 ; 1P.436/1989 précité in SJ 1990 p. 565).</w:t>
      </w:r>
    </w:p>
    <w:p>
      <w:r>
        <w:rPr>
          <w:b/>
        </w:rPr>
        <w:t>E. 3.17</w:t>
      </w:r>
    </w:p>
    <w:p>
      <w:r>
        <w:t>Selon l’art. 1 al. 4 de la loi sur la police du 9 septembre 2014 (LPol - F 1 05), sauf dispositions légales contraires, la police est chargée des missions suivantes : a) assurer l’ordre, la sécurité et la tranquillité publics ; b) prévenir la commission d’infractions et veiller au respect des lois, en particulier selon les priorités émises conjointement par le Conseil d’État et le Ministère public ; c) exercer la police judiciaire ; d) exécuter les décisions des autorités judiciaires et administratives ; e) coordonner les préparatifs et la conduite opérationnelle en cas de situation exceptionnelle en vue de protéger la population, les infrastructures et les conditions d’existence ; f) exercer les actes de police administrative qui ne sont pas dévolus à d’autres autorités.</w:t>
      </w:r>
    </w:p>
    <w:p>
      <w:r>
        <w:rPr>
          <w:b/>
        </w:rPr>
        <w:t>E. 3.18</w:t>
      </w:r>
    </w:p>
    <w:p>
      <w:r>
        <w:t>En l’espèce, la commandante a refusé la radiation de la main courante établie lors de l’intervention du 19 décembre 2023, retenant l’intérêt public à pouvoir disposer des données y figurant dans le cadre d’éventuelles procédures judiciaires ou pour prévenir des infractions. Comme l’a relevé le préposé, la main courante ne contient aucune donnée personnelle sensible de la recourante mais relate, au conditionnel, les propos des personnes présentes lors de l’intervention du 19 décembre 2023, sans aucune valeur de vérification objective. De même, s’agissant de l’exactitude ou non des propos qui y figurent, ce document n’a pas de valeur probante, contrairement par exemple à un procès-verbal d’audition. La main courante n’a pas pour but de constater l’exactitude des déclarations des personnes présentes, singulièrement celles prêtées à la recourante, étant relevé qu’aucun des propos résumés ne se rapporte à des données sensibles telles les convictions ou opinions religieuses, politiques ou syndicales de la recourante ou des informations relatives à son état de santé. Il sera relevé que les termes contestés ne sont pas imputés à la recourante, ne se trouvant pas dans la phrase commençant par « Selon cette dernière ». La seule préoccupation relative à l’état psychique de la recourante, sans autre précision, exprimée par les agents de police s’étant rendus sur place, ne constitue pas une donnée personnelle au sens de l’art. 4 let. b ch. 2 LIPAD. Derechef, il s’agit là d’une appréciation qui n’en établit pas l’exactitude, comme le ferait un certificat médical. Par ailleurs, la main courante date d’il y a moins d'un an. Il ne peut ainsi être considéré qu’en raison de l’écoulement du temps, elle ne présenterait plus une utilité pour assurer la sécurité publique et la prévention des crimes et délits telles que prévues par la LCBVM et la LPol. Il existe dès lors un intérêt public à la conservation du document litigieux tel quel. Pour ces motifs, la chambre de céans ne peut que constater que le document querellé ne contient pas d'informations qui contreviendraient aux dispositions de la LIPAD et qui devraient par conséquent être supprimées. En outre, en l’absence d’allégations précises de la recourante, la chambre de céans retiendra qu’elle n’a pas rendu vraisemblable qu’elle aurait été victime de malveillance ou d’allégations infondées. Il résulte de ce qui précède que le recours doit être rejeté.</w:t>
      </w:r>
    </w:p>
    <w:p>
      <w:r>
        <w:rPr>
          <w:b/>
        </w:rPr>
        <w:t>E. 4</w:t>
      </w:r>
    </w:p>
    <w:p>
      <w:r>
        <w:t>La procédure étant gratuite, sauf en cas d’emploi abusif de procédure ou de procédé téméraire (art. 3C al. 5 LCBVM), ce qui n’est pas le cas en l’espèce,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