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A/1487/2025 vom 15. Dezember 2025</w:t>
      </w:r>
    </w:p>
    <w:p>
      <w:r>
        <w:t>GE Cour de justice, 2025-12-15, FR</w:t>
      </w:r>
    </w:p>
    <w:p>
      <w:r>
        <w:rPr>
          <w:b/>
        </w:rPr>
        <w:t xml:space="preserve">Quelle: </w:t>
      </w:r>
      <w:r>
        <w:t>https://mcp.opencaselaw.ch/entscheid/ge_gerichte_A_1487_2025</w:t>
      </w:r>
    </w:p>
    <w:p>
      <w:r>
        <w:t>FR: GE_GERICHTE A/1487/2025 du 15 décembre 2025</w:t>
      </w:r>
    </w:p>
    <w:p>
      <w:r>
        <w:t>IT: GE_GERICHTE A/1487/2025 del 15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La procédure devant la chambre de céans est régie par les dispositions de la LPGA et de la loi sur la procédure administrative du 12 septembre 1985 (LPA - E 5 10). Interjeté dans la forme (art. 61 let. b LPGA) et le délai prévus par la loi (art. 60 LPGA), compte tenu de la suspension des délais du 7 e jour avant Pâques au 7 e jour après Pâques inclusivement (art. 38 al. 4 let. a LPGA et art. 89C let. a LPA), le recours est recevable.</w:t>
      </w:r>
    </w:p>
    <w:p>
      <w:r>
        <w:rPr>
          <w:b/>
        </w:rPr>
        <w:t>E. 2</w:t>
      </w:r>
    </w:p>
    <w:p>
      <w:r>
        <w:t>Le litige porte sur le droit éventuel de la recourante à une indemnité pour atteinte à l’intégrité.</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3.2.1</w:t>
      </w:r>
    </w:p>
    <w:p>
      <w:r>
        <w:t>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3.2.2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Il appartient au juge et à lui seul de trancher la question de la causalité adéquate. Le juge appelé à se prononcer sur l'existence d'un rapport de causalité adéquate doit se demander, en face d'un enchaînement concret de circonstances, s'il était probable que le fait considéré produisît le résultat intervenu. À cet égard, ce n'est pas la prévisibilité subjective mais la prévisibilité objective du résultat qui compte (ATF 107 V 173 consid. 4b).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 ; 115 V 133 consid. 6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115 V 403 consid. 5c/aa).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 8C_435/2011 du 13 février 2012 consid. 4.2 in SVR 2012 UV n. 23 p. 84 ;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(ATF 115 V 403 consid. 5a).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 stricto sensu ),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3.2.3</w:t>
      </w:r>
    </w:p>
    <w:p>
      <w:r>
        <w:t>Lorsque, dans le cas d’une borréliose ou maladie de Lyme provoquée par un accident (morsure de tique), les troubles psychiques constituent des effets directs de la maladie infectieuse, l’examen de la causalité adéquate doit se faire selon la règle générale en la matière, c’est-à-dire selon le cours ordinaire des choses et l’expérience générale de la vie ; les critères objectifs dégagés par la jurisprudence en matière de troubles psychiques ne sont pas applicables (arrêt du Tribunal fédéral U.245/99 du 17 mai 2001 [les critères objectifs ne s’appliquent que si les troubles psychiques sont des effets secondaires de la maladie de Lyme] ; Jean‑Maurice FRÉSARD/Margit MOSER-SZELESS, L’assurance-accidents obligatoire [avec des aspects de l’assurance militaire], in Schweizerisches Bundesverwaltungsrecht Soziale Sicherheit , 2016, n. 139).</w:t>
      </w:r>
    </w:p>
    <w:p>
      <w:r>
        <w:rPr>
          <w:b/>
        </w:rPr>
        <w:t>E. 3.3</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re phrase) ; elle ne doit pas excéder le montant maximum du gain annuel assuré à l'époque de l'accident et elle est échelonnée selon la gravité de l'atteinte à l'intégrité (al. 1, 2 e phrase).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re phrase) ; elle est réputée importante lorsque l'intégrité physique ou mentale subit, indépendamment de la diminution de la capacité de gain, une altération évidente ou grave (al. 1, 2 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re phrase).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 ; sur la répartition des tâches entre le médecin et l'administration ou le tribunal, cf. également ATF 140 V 193 consid. 3.2).</w:t>
      </w:r>
    </w:p>
    <w:p>
      <w:r>
        <w:rPr>
          <w:b/>
        </w:rPr>
        <w:t>E. 3.4</w:t>
      </w:r>
    </w:p>
    <w:p>
      <w:r>
        <w:t>La plupart des éventualités assurées (par ex.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de l’assurance-accidents sont considérés, du fait de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4.1</w:t>
      </w:r>
    </w:p>
    <w:p>
      <w:r>
        <w:t>En l’espèce, il n’est pas contesté par les parties que l’état de santé de la recourante était stabilisé au moment de l’expertise du Dr G______, le 30 mai 2022. Aussi l’intimée était-elle fondée à clore le cas (en mettant fin aux frais de traitement et aux indemnités journalières) et à examiner le droit éventuel de la recourante à une indemnité pour atteinte à l’intégrité – seule prestation ici litigieuse. Il n’est pas non plus contesté par les parties que le rapport d’expertise du Dr G______ du 16 juin 2022, établi par un spécialiste de la discipline médicale ici pertinente (infectiologie), remplit les réquisits jurisprudentiels pour se voir reconnaître une pleine valeur probante. En ce qui concerne l’atteinte à l’intégrité physique, l’expert a rappelé que la recourante avait eu une infection du membre inférieur gauche à partir d’une plaie perforante de la base du cinquième orteil avec rétention du corps étranger, en avril 2021 au C______. Le diagnostic de tétanos a été retenu au regard des symptômes présentés à cette époque (trismus, contractures douloureuses de la mâchoire, contractures des muscles masséter et temporal, du muscle platysma, du muscle sterno-cléido-mastoïdien, de la musculature paravertébrale et des trapèzes). Il a expliqué que l’infection survenait à la suite de la contamination d’une plaie cutanée d’origine accidentelle ou à la surinfection d’une plaie chronique dans le cadre d’une maladie préexistante (p. 4). Lors de l’expertise, la recourante s’est plainte d’une symptomatologie algique récurrente, sous forme de douleurs au niveau des mâchoires et autour des yeux des deux côtés, parfois associée à des céphalées, des douleurs dans la nuque et dans la colonne vertébrale. Il n’y avait pas de limitation à l’ouverture de la bouche, ni de troubles de la mastication ou de la déglutition. Les symptômes survenaient par crises, de façon irrégulière. L’expert, quant à lui, a constaté une absence de méningisme, des nerfs crâniens en ordre, une palpation de la face et du cou sans contracture musculaire au niveau des muscles masséters, temporaux, platysma et trapèzes, une ouverture de la bouche normale, une absence de déficit sensitivo‑moteur au niveau des membres supérieurs et inférieurs, des réflexes ostéo-tendineux vifs et symétriques, et une pallesthésie 8/8 à l’hallux des deux côtés. L’expert a considéré que l’atteinte à l’intégrité était importante et l’a fixée à 20%. Contrairement à ce que prétend la recourante, l’expert n’a pas conclu à l’absence de tout traitement médical susceptible de combattre les douleurs. Il a indiqué que la recourante pouvait prendre des antalgiques lors des épisodes douloureux, et souligné qu’une consultation dans un centre spécialisé dans la prise en charge des douleurs pourrait être bénéfique (p. 14). Or, la recourante n’a produit aucun rapport médical faisant état d’une prise en charge dans un centre de la douleur. Contrairement à ce que fait valoir la recourante, l’affirmation de l’expert, selon laquelle « les symptômes étant présents depuis plus d’une année, il est raisonnable de considérer que l’aggravation est déterminante », ne peut pas être comprise en ce sens que l’atteinte à l’intégrité serait durable au sens de l’art. 36 al. 1 OLAA. En effet, l’expert a expliqué que même si la plupart des adultes atteints de tétanos récupéraient dans les six mois après l’infection, certains patients pouvaient encore présenter des douleurs plusieurs années après (p. 13). La récupération était plus faible et incomplète chez les sujets âgés de plus de 70 ans (p. 9). Il a relevé que, à l’heure actuelle, il n’était pas possible de déterminer le potentiel de récupération et la durée de la symptomatologie chez la recourante (p. 13). À la question précise de savoir à quel taux il estimait l’atteinte à l’intégrité, l’expert a répondu que, si l’atteinte à l’intégrité pouvait être considérée comme importante – le taux de 20% témoigne du caractère important de l’atteinte –, il a expressément souligné que, à ce stade, il n’était pas possible de savoir si elle serait durable (p. 16). Il n’est donc pas établi, au degré de la vraisemblance prépondérante, que l’atteinte à l’intégrité physique de la recourante, âgée de 43 ans au moment de l’expertise, subsistera avec la même gravité pendant toute la vie. En d’autres termes, le statu quo n’apparaît pas plus vraisemblable qu’une amélioration, voire une récupération complète de l’état de santé antérieur, à long terme. Enfin, contrairement à ce que paraît croire la recourante, le fait que, par appréciation du 4 juillet 2022, le Dr F______, médecin-conseil de l’intimée, ait indiqué que les suites de l’événement d’avril 2021 engageaient la responsabilité de l’assurance-accidents – raison pour laquelle l’intimée a versé des indemnités journalières et pris en charge le traitement médical (cf. décision du 12 juillet 2023 p. 1) – et indiqué que le taux de l’indemnité pour atteinte à l’intégrité était de 20%, comme retenu par l’expert, ne signifie pas encore que la recourante a droit à cette prestation. En effet, tant le caractère important que durable de l’atteinte à l’intégrité doit être établi. Or, comme relevé précédemment, le caractère durable de l’atteinte doit en l’état être nié. Les conditions du droit à l’indemnité pour atteinte à l’intégrité physique n’étant pas remplies une fois le traitement médical achevé, c’est à juste titre que l’intimée a refusé à la recourante cette prestation.</w:t>
      </w:r>
    </w:p>
    <w:p>
      <w:r>
        <w:rPr>
          <w:b/>
        </w:rPr>
        <w:t>E. 4.2</w:t>
      </w:r>
    </w:p>
    <w:p>
      <w:r>
        <w:t>En ce qui concerne l’atteinte à l’intégrité psychique, il convient de déterminer s’il existe un lien de causalité adéquate entre les troubles psychiques allégués et l’accident d’avril 2021, car dans l’éventualité où ce lien devait être nié, la recourante n’aurait pas droit à une indemnité pour atteinte à l’intégrité en raison de ces troubles (arrêt du Tribunal fédéral 8C_440/2015 du 14 avril 2016 consid. 5.7). À cet effet, dans l’hypothèse où l’on appliquait les critères définis à l'ATF 115 V 133 (consid. 3.3.2 ci-dessus), il y a lieu de relever que, en ce qui concerne les circonstances concomitantes particulièrement dramatiques ou le caractère particulièrement impressionnant de l’accident, l'examen de ce critère ne se fait pas en fonction du ressenti subjectif de l'assuré, mais sur la base d'une appréciation objective du déroulement de l'accident dans son ensemble (arrêt du Tribunal fédéral 8C_816/2021 du 2 mai 2022 consid. 5.3.1). Ainsi, les conséquences qui en résultent, qui n'ont pas directement trait au déroulement de l'accident, comme les lésions subies par la recourante, ne sont pas déterminantes. En l’occurrence, il ressort du rapport d’expertise du 16 juin 2022 ainsi que du questionnaire rempli par la recourante le 10 novembre 2021 que cette dernière s’est blessée au niveau du cinquième orteil du pied gauche en marchant pieds nus sur une branche d’arbre épineuse sur une plage au C______. À l’évidence, on ne peut pas, d'un point de vue objectif, conférer un caractère particulièrement dramatique ou impressionnant à l’action de marcher sur une branche d’arbre. À titre de comparaison, ce critère a été nié même dans plusieurs cas de traumatismes crâniens avec perte de connaissance consécutifs à une chute (arrêt du Tribunal fédéral 8C_383/2013 du 1 er avril 2014 consid. 7.2.2 et les références). Ensuite, les lésions physiques que la recourante a subies sont une tuméfaction périorbitaire de l’œil droit, un œdème et un érythème du membre inférieur gauche jusqu’au genou, une limitation de l’ouverture de la bouche (trismus), une contracture des muscles du visage et du cou (rapport d’expertise p. 2), puis une récidive de contracture des muscles faciaux, du cou et de la musculature paravertébrale en juin 2021 (rapport des HUG du 25 juin 2021). À l’hôpital au C______, il n’y avait pas de rigidité du membre inférieur blessé, de spasmes généralisés, d’opisthotonos, de rigidité abdominale, d’atteinte des nerfs crâniens, d’atteinte respiratoire ou de signes de dysautonomie (rapport d’expertise p. 2). L’IRM de la colonne lombaire et l’ENMG effectuées aux HUG en juin 2021 étaient dans la norme (rapport des HUG du 11 juin 2021). Depuis la sortie des HUG en juin 2021, persistaient des douleurs au niveau de la mâchoire, autour des yeux, dans la nuque et dans la colonne vertébrale, ainsi que des céphalées (rapport d’expertise p. 10). Force est de constater que la recourante n’a pas été sévèrement touchée à un organe auquel l'homme attache normalement une importance subjective particulière (par exemple la perte d'un œil ou certains cas de mutilations à la main dominante). Les lésions physiques subies ne sont pas non plus comparables aux lésions potentiellement fatales dont il est question dans l'arrêt 8C_398/2012 du 6 novembre 2012 (rupture de la rate, fissure de l'estomac, hémopneumothorax bilatéral et fracture costale en série ; cf. arrêt du Tribunal fédéral 8C_235/2020 du 15 février 2021 consid. 4.3.2). Le critère de la gravité ou la nature particulière des lésions physiques n'est donc pas réalisé. Pour l'examen du critère de la durée anormalement longue du traitement médical, il faut uniquement prendre en compte le traitement thérapeutique nécessaire (arrêt du Tribunal fédéral U.369/05 du 23 novembre 2006 consid. 8.3.1). N'en font pas partie les mesures d'instruction médicale et les simples contrôles chez le médecin (arrêt du Tribunal fédéral U.393/05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précité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l'espèce, la recourante a subi un débridement chirurgical de la plaie au C______ (rapport des HUG du 25 juin 2021), et le traitement médical dans ce pays ou aux HUG était le suivant : antibiothérapie, traitement myorelaxant, administration d’immunoglobulines antitétaniques, rappel vaccinal, physiothérapie. Elle a été hospitalisée au C______ de fin avril 2021 à mi-mai 2021 (attestation des HUG du 8 juillet 2021). Elle n’a donc pas nécessité une longue hospitalisation. Elle a en outre effectué un court séjour aux HUG du 2 au 11 juin 2021. Depuis août 2021, près de quatre mois après l’infection, elle n’a plus de suivi spécialisé et a complétement arrêté le traitement médicamenteux (rapport d’expertise p. 3). Ce critère n'est donc pas non plus rempli. Le dossier ne fait mention d'aucune erreur médicale. 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En l’occurrence, les douleurs persistantes ne constituent pas des difficultés apparues dans le processus de guérison ni des complications importantes, d’autant moins que les symptômes algiques surviennent par crises, de manière irrégulière (rapport d’expertise p. 10). En outre, il convient de faire ici abstraction des troubles non objectivables et en particulier des (éventuels) troubles psychiques (arrêt du Tribunal fédéral 8C_810/2019 du 7 septembre 2020 consid. 4.3.2). Le critère du degré et de la durée de l'incapacité de travail due aux lésions physiques est en principe admis en cas d'incapacité totale de travail de près de trois ans (arrêt du Tribunal fédéral 8C_600/2020 du 3 mai 2021 consid. 4.2.4), mais pas en cas d’incapacité de travail totale pendant un peu plus d’une année (arrêt du Tribunal fédéral 8C_209/2020 du 18 janvier 2021 consid. 5.2.2). Ce critère ne peut pas être retenu en l'espèce, puisque l’incapacité de travail totale dès fin avril 2021 n’a duré que quatre mois, la recourante ayant pleinement repris son activité habituelle à compter du 1 er septembre 2021. Peu importe que les médecins des HUG aient conseillé à la recourante de cesser son travail pendant une année pour se rétablir. L’éventuelle admission du critère des douleurs physiques persistantes ne conduirait qu'à la reconnaissance d'un seul critère sur sept, ce qui est insuffisant pour admettre le lien de causalité adéquate entre les troubles psychiques et l'accident. Ces douleurs doivent en tous cas être relativisées, dès lors que la recourante a repris son emploi habituel à plein temps. Ce critère ne revêt donc pas à lui seul une intensité suffisante pour admettre l'existence d'un lien de causalité adéquate. Pour ce motif, même si l'accident en cause avait été classé tout au plus dans la catégorie des accidents de gravité moyenne, l'issue du litige n'en serait pas modifiée. Par surabondance, dans l’hypothèse où l’on appliquait non pas les critères définis à l'ATF 115 V 133 , mais la définition générale de la causalité adéquate, c’est‑à‑dire que l’on examinait si, d'après le cours ordinaire des choses et l'expérience de la vie, le tétanos était propre à entraîner des troubles psychiques du genre de ceux qui sont apparus, cela ne changerait pas non plus l’issue du litige. En effet, il ressort du rapport d’expertise que la forme de tétanos la plus probable dans le cas de la recourante était un tétanos généralisé débutant. Ce type de tétanos débutait le plus souvent par une atteinte des muscles du visage et du cou, avant de se généraliser dans les jours suivants. La période d’incubation très courte entre la plaie (25 avril 2021) et le début des symptômes (29 avril 2021) signalait en général une infection sévère liée à une production très importante de toxine. Cette période était d’autant plus courte que la plaie au niveau du pied se situait à distance du système nerveux central, ce qui aurait dû entraîner une période d’incubation longue. Pour autant, le tétanos de la recourante avait été classé comme une forme légère (stade I selon le score d’Ablet). L’absence d’évolution vers des spasmes musculaires généralisés et un tétanos sévère était probablement due à la vaccination préalable et la présence d’un titre d’anticorps anti-toxine tétanique insuffisant pour empêcher l’infection mais assez élevé pour prévenir une évolution sévère. L’autre élément qui pouvait expliquer l’absence de tétanos sévère était la rapidité du diagnostic et de la prise en charge, soit 24 heures après le début de la symptomatologie. La première dose d’immunoglobulines antitétaniques avait été administrée précocement et avait probablement décapité la maladie à un stade précoce (p. 12). Les individus qui développaient en général des formes peu sévères de tétanos ne connaissaient pas d’issue fatale (p. 16). Le fait que la recourante a eu peur de mourir n’est pas pertinent, car l’examen de la causalité adéquate ne se fait pas en fonction du ressenti subjectif, mais sur la base d’une appréciation objective. La recourante, qui n’a pas présenté une forme sévère de tétanos, a été rapidement prise en charge et n’a pas dû être hospitalisée pendant une longue durée, comme relevé précédemment. Aux dires de la recourante, les conditions de son hospitalisation étaient optimales et non traumatisantes. Son infection n’a donc pas engagé son pronostic vital, et quatre mois seulement après l’événement, elle a repris à plein temps son emploi habituel d’avocate, soit un poste à responsabilité dans un environnement de travail stressant, avec une charge de travail importante (rapport d’expertise p. 13). En dépit de sa symptomatologie algique, sa capacité de travail n’est donc pas limitée. Elle n’a par ailleurs produit aucun rapport médical qui attesterait d’un suivi psychiatrique. Dans ces circonstances, on doit admettre que les (éventuels) troubles psychiques de la recourante, si tant est qu'ils soient en relation de causalité naturelle avec l’événement accidentel, ne sont pas en relation de causalité adéquate avec celui-ci. À titre de comparaison, la jurisprudence relative à la causalité adéquate en cas d'atteinte psychique consécutive à des accidents (ATF 115 V 133 ) n'est pas non plus applicable par analogie aux troubles psychiques en relation avec des maladies professionnelles (art. 9 LAA). Dans cette éventualité, la causalité est adéquate si la maladie professionnelle ou les événements en relation avec celle-ci sont propres, d'après le cours ordinaire des choses et l'expérience de la vie, à entraîner des troubles psychiques du genre de ceux qui sont apparus (ATF 125 V 456 consid. 5e). Ayant eu à se prononcer sur le lien de causalité adéquate entre de l’asthme considéré comme une maladie professionnelle et des troubles psychiques, le Tribunal fédéral a notamment eu l’occasion de relever, dans le cadre de l’examen d’un cas particulier, que, pour que l'on puisse en l’espèce admettre l'existence dudit lien de causalité adéquate, il fallait en premier lieu que les substances inhalées par l'assurée fussent de nature à provoquer chez la plupart des assurés des troubles psychiques du genre de ceux dont elle avait souffert. Or, il n'était pas établi que les personnes qui travaillaient avec l'assurée avaient également été frappées de telles affections psychiques, voire empêchées d'exercer leur métier en raison des substances allergènes présentes dans l'air de l'usine. En outre, il fallait tenir compte du fait que la maladie professionnelle dont l'assurée avait été affectée n'avait pas mis sérieusement sa santé en danger et qu'elle n'avait pas non plus compromis son retour dans la vie active. De plus, on devait retenir que l'assurée n'avait subi que de brèves périodes d'incapacité de travail et que son asthme professionnel n'avait pas porté atteinte de façon permanente ou irréversible à sa santé physique (arrêt du Tribunal fédéral U.153/01 du 29 avril 2002). En définitive, dans la mesure où le caractère naturel et le caractère adéquat du lien de causalité doivent être remplis cumulativement pour octroyer des prestations d'assurance‑accidents en raison des troubles psychiques, l'absence d'une relation de causalité adéquate in casu ne peut que conduire à confirmer la décision litigieuse.</w:t>
      </w:r>
    </w:p>
    <w:p>
      <w:r>
        <w:rPr>
          <w:b/>
        </w:rPr>
        <w:t>E. 4.3</w:t>
      </w:r>
    </w:p>
    <w:p>
      <w:r>
        <w:t>Au vu de ce qui précède, il est superflu d’instruire davantage le dossier, par appréciation anticipée des preuves (ATF 122 II 464 consid. 4a).</w:t>
      </w:r>
    </w:p>
    <w:p>
      <w:r>
        <w:rPr>
          <w:b/>
        </w:rPr>
        <w:t>E. 5</w:t>
      </w:r>
    </w:p>
    <w:p>
      <w:r>
        <w:t>Par conséquent, le recours sera rejeté.</w:t>
      </w:r>
    </w:p>
    <w:p>
      <w:r>
        <w:rPr>
          <w:b/>
        </w:rPr>
        <w:t>E. 6</w:t>
      </w:r>
    </w:p>
    <w:p>
      <w:r>
        <w:t>La recourante, qui succombe, n'a pas droit à des dépens (art. 61 let. g LPGA a contrario ). L'intimée, qui obtient gain de cause, conclut à l’octroi de dépens. Toutefois, étant une organisation chargée de tâches de droit public (ATF 112 V 44 consid. 3), et non représentée par un avocat indépendant, elle n’a pas droit à des dépens.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