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A/1484/2024 vom 10. September 2024</w:t>
      </w:r>
    </w:p>
    <w:p>
      <w:r>
        <w:t>GE Cour de justice, 2024-09-10, FR</w:t>
      </w:r>
    </w:p>
    <w:p>
      <w:r>
        <w:rPr>
          <w:b/>
        </w:rPr>
        <w:t xml:space="preserve">Quelle: </w:t>
      </w:r>
      <w:r>
        <w:t>https://mcp.opencaselaw.ch/entscheid/ge_gerichte_A_1484_2024</w:t>
      </w:r>
    </w:p>
    <w:p>
      <w:r>
        <w:t>FR: GE_GERICHTE A/1484/2024 du 10 septembre 2024</w:t>
      </w:r>
    </w:p>
    <w:p>
      <w:r>
        <w:t>IT: GE_GERICHTE A/1484/2024 del 10 settembre 2024</w:t>
      </w:r>
    </w:p>
    <w:p>
      <w:pPr>
        <w:pStyle w:val="Heading2"/>
      </w:pPr>
      <w:r>
        <w:t>Erwägungen</w:t>
      </w:r>
    </w:p>
    <w:p>
      <w:r>
        <w:rPr>
          <w:b/>
        </w:rPr>
        <w:t>E. 2</w:t>
      </w:r>
    </w:p>
    <w:p>
      <w:r>
        <w:t>Sans y conclure formellement, le recourant propose son audition.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En l’espèce, le recourant a été entendu avant le prononcé de la décision querellée et a pu également exposer son point de vue et ses arguments dans son recours et sa réplique. Il n’explique pas quels éléments utiles qu’il n’aurait pu exposer par écrit son audition permettrait d’apporter à la solution du litige. Il ne sera donc pas ordonné de comparution personnelle.</w:t>
      </w:r>
    </w:p>
    <w:p>
      <w:r>
        <w:rPr>
          <w:b/>
        </w:rPr>
        <w:t>E. 3</w:t>
      </w:r>
    </w:p>
    <w:p>
      <w:r>
        <w:t>Le litige porte sur le bien-fondé du refus de délivrer une AUADP au recourant, en application du régime transitoire prévu par l’art. 46 al. 13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w:t>
      </w:r>
    </w:p>
    <w:p>
      <w:r>
        <w:rPr>
          <w:b/>
        </w:rPr>
        <w:t>E. 3.2</w:t>
      </w:r>
    </w:p>
    <w:p>
      <w:r>
        <w:t>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w:t>
      </w:r>
    </w:p>
    <w:p>
      <w:r>
        <w:rPr>
          <w:b/>
        </w:rPr>
        <w:t>E. 3.3</w:t>
      </w:r>
    </w:p>
    <w:p>
      <w:r>
        <w:t>À l’issue de la séance du 28 janvier 2022, le Grand Conseil a adopté la LTVTC (loi 12'649), publiée le 4 février 2022 dans la Feuille d’avis officielle de la République et canton de Genève (ci-après : FAO) fixant le délai référendaire au 16 mars 2022.</w:t>
      </w:r>
    </w:p>
    <w:p>
      <w:r>
        <w:rPr>
          <w:b/>
        </w:rPr>
        <w:t>E. 3.4</w:t>
      </w:r>
    </w:p>
    <w:p>
      <w:r>
        <w:t>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3.5</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3.6</w:t>
      </w:r>
    </w:p>
    <w:p>
      <w:r>
        <w:t>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3.7</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w:t>
      </w:r>
    </w:p>
    <w:p>
      <w:r>
        <w:rPr>
          <w:b/>
        </w:rPr>
        <w:t>E. 3.8</w:t>
      </w:r>
    </w:p>
    <w:p>
      <w:r>
        <w:t>Dans un arrêt récent du 4 juin 2024 ( 2C_690/2023 ), le Tribunal fédéral a confirmé la compatibilité de l’art. 46 al. 13 LTVTC avec les principes de non‑rétroactivité des lois et de proportionnalité en lien avec la liberté économique.</w:t>
      </w:r>
    </w:p>
    <w:p>
      <w:r>
        <w:rPr>
          <w:b/>
        </w:rPr>
        <w:t>E. 3.9</w:t>
      </w:r>
    </w:p>
    <w:p>
      <w:r>
        <w:t>En l’espèce, la requête – c’est-à-dire le fait juridiquement déterminant – du recourant auprès de la PCTN en vue de l’obtention d’une AUADP date du 31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Ce grief doit être écarté. Le recourant ne conteste pas ne pas avoir été l’utilisateur effectif d’une AUADP le 28 janvier 2022. Il ne répond ainsi pas à une des conditions permettant de bénéficier du régime transitoire de l’art. 46 al. 13 LTVTC. Le recourant invoque un « cas de rigueur » l’ayant empêché de disposer d’une AUADP à cette date. Sa maladie l’avait empêché de reprendre l’exercice de sa profession et une carte professionnelle avant l’adoption de la loi et il devait bénéficier du régime transitoire permettant l’octroi d’une AUADP. À rigueur de texte, l’art. 46 al. 13 LTVTC ne prévoit pas la possibilité d’invoquer des motifs d’empêchement à la location d’une AUADP. Il ressort des travaux parlementaires que l’objectif du régime transitoire en faveur des locataires des AUADP était « de donner la priorité aux utilisateurs effectifs et de mettre fin au bail à ferme » (Rapport B, p. 40). Il s’agissait d’un « aspect social » afin de clarifier rapidement leur situation puisqu’ils dépendaient encore de leur bailleur à qui ils devaient payer la location. Le bailleur avait une obligation soit d’employer les chauffeurs locataires, soit de restituer les AUADP. Les représentants du département signalaient aussi l’existence d’une disposition transitoire permettant « au département d’attribuer l’AUADP restituée à la personne qui l’exploitait effectivement, soit au locataire. Cette clause évit[ait] que le locataire ne perde son outil de travail lorsque l’AUADP [était] restituée par le bailleur » (Rapport B, p. 27). L’idée était de prévoir un passage en douceur pour les personnes subissant des sacrifices trop importants du fait de la nouvelle réglementation. Or, dans le cas présent, le recourant n’était plus locataire d’une AUADP au moment de l’adoption de la loi puisque le contrat de bail avait pris fin le 26 décembre 2020. Ainsi, au moment de l’adoption le 28 janvier 2022 de la nouvelle loi, il ne se trouvait pas dans la situation dans laquelle sa relation par rapport à son bailleur devait être clarifiée et il ne courrait pas le risque de perdre son outil de travail en raison de la restitution par son bailleur de l’AUADP. Le recourant n’étant plus titulaire d’une AUADP au moment déterminant, il n’y a ainsi pas lieu de déroger à la réglementation prévue par l’art. 46 al. 13 LTVTC ( ATA/814/2024 du 9 juillet 2024 consid. 2.6 ; ATA/619/2024 du 21 mai 2024 consid. 4). Le recourant invoque la violation de la liberté économique et les principes constitutionnels applicables en droit public. La chambre administrative ne voit pas de raison de s’écarter de la jurisprudence de la chambre constitutionnelle et du Tribunal fédéral qui ont tranché ces questions, incluant l’examen du respect des principes de la proportionnalité, de l’interdiction de la non-rétroactivité des lois, de la protection de la bonne foi, de l’interdiction de l’arbitraire et de la préservation des droits acquis dans la nouvelle LTVTC et de son règlement d’application. Par ailleurs, la décision querellée ne consacre pas non plus une inégalité de traitement entre chauffeurs de taxis qui ont obtenu le renouvellement facilité de leur AUADP, selon l’art. 46 al. 13 LTVTC, et obtenu une nouvelle AUADP en raison du fait qu’ils figuraient en tête de la liste d’attente. En effet, la loi n’interdit nullement d’être titulaire de plusieurs AUADP. Ainsi, les chauffeurs de taxis qui en remplissent les conditions légales peuvent se voir délivrer des plusieurs AUADP. Pour le surplus, le recourant ne soutient pas que des chauffeurs de taxis ne disposant, comme lui, pas d’une AUADP le 28 janvier 2022 auraient néanmoins bénéficié d’un renouvellement facilité de leur AUADP obtenue postérieurement à cette date. L’on ne discerne ainsi pas d’inégalité de traitement entre chauffeurs de taxis se trouvant dans la même situation que le recourant. Enfin, la loi ne prévoit pas de clause permettant de déroger aux conditions d’octroi d’une AUADP telles que définies par la loi. La chambre de céans ne saurait, sous peine de violer la loi, admettre en l’espèce l’existence de critères non prévus par celle-ci pour octroyer au recourant l’AUADP convoitée. Sur ce dernier point, le recourant fait valoir les conséquences de sa maladie. Il a certes documenté qu’il avait été traité et suivi de 2001 à 2007 pour une affection oncologique grave.Toutefois, hormis des considérations générales sur la reprise du travail après une maladie, il n’explique ni ne documente pour quels motifs médicaux il n’aurait pu reprendre aucune activité entre 2007 et 2022. Au vu de ce qui précède, les critiques du recourant n’apparaissent pas fondées. Son recours sera ainsi rejeté.</w:t>
      </w:r>
    </w:p>
    <w:p>
      <w:r>
        <w:rPr>
          <w:b/>
        </w:rPr>
        <w:t>E. 4</w:t>
      </w:r>
    </w:p>
    <w:p>
      <w:r>
        <w:t>Vu l’issue du litige, un émolument de CHF 500.- sera mis à la charge du recourant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