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A/1484/2022 vom 2. Februar 2023</w:t>
      </w:r>
    </w:p>
    <w:p>
      <w:r>
        <w:t>GE Cour de justice, 2023-02-02, FR</w:t>
      </w:r>
    </w:p>
    <w:p>
      <w:r>
        <w:rPr>
          <w:b/>
        </w:rPr>
        <w:t xml:space="preserve">Quelle: </w:t>
      </w:r>
      <w:r>
        <w:t>https://mcp.opencaselaw.ch/entscheid/ge_gerichte_A_1484_2022</w:t>
      </w:r>
    </w:p>
    <w:p>
      <w:r>
        <w:t>FR: GE_GERICHTE A/1484/2022 du 2 février 2023</w:t>
      </w:r>
    </w:p>
    <w:p>
      <w:r>
        <w:t>IT: GE_GERICHTE A/1484/2022 del 2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La modification du 25 septembre 2015 de la LAA est entrée en vigueur le 1 er janvier 2017.![endif]&gt;![if&gt;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 er janvier 2017.</w:t>
      </w:r>
    </w:p>
    <w:p>
      <w:r>
        <w:rPr>
          <w:b/>
        </w:rPr>
        <w:t>E. 5</w:t>
      </w:r>
    </w:p>
    <w:p>
      <w:r>
        <w:t>Interjeté dans les délai et forme prévus par la loi, le recours est recevable (art. 56 LPGA ; art. 62 al. 1 de la de loi sur la procédure administrative du 12 septembre 1985 [LPA - E 5 10]). ![endif]&gt;![if&gt;</w:t>
      </w:r>
    </w:p>
    <w:p>
      <w:r>
        <w:rPr>
          <w:b/>
        </w:rPr>
        <w:t>E. 6</w:t>
      </w:r>
    </w:p>
    <w:p>
      <w:r>
        <w:t>Le litige porte sur la question de savoir si l'événement du 24 septembre 2020 peut être qualifié d'accident ou être assimilé à un accident.![endif]&gt;![if&gt;</w:t>
      </w:r>
    </w:p>
    <w:p>
      <w:r>
        <w:rPr>
          <w:b/>
        </w:rPr>
        <w:t>E. 6.1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3.1).![endif]&gt;![if&gt;</w:t>
      </w:r>
    </w:p>
    <w:p>
      <w:r>
        <w:rPr>
          <w:b/>
        </w:rPr>
        <w:t>E. 6.2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![endif]&gt;![if&gt;</w:t>
      </w:r>
    </w:p>
    <w:p>
      <w:r>
        <w:rPr>
          <w:b/>
        </w:rPr>
        <w:t>E. 6.3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![endif]&gt;![if&gt;</w:t>
      </w:r>
    </w:p>
    <w:p>
      <w:r>
        <w:rPr>
          <w:b/>
        </w:rPr>
        <w:t>E. 6.4</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3.4).![endif]&gt;![if&gt;</w:t>
      </w:r>
    </w:p>
    <w:p>
      <w:r>
        <w:rPr>
          <w:b/>
        </w:rPr>
        <w:t>E. 6.5</w:t>
      </w:r>
    </w:p>
    <w:p>
      <w:r>
        <w:t>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5.2).![endif]&gt;![if&gt;</w:t>
      </w:r>
    </w:p>
    <w:p>
      <w:r>
        <w:rPr>
          <w:b/>
        </w:rPr>
        <w:t>E. 6.6</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3.2).![endif]&gt;![if&gt;</w:t>
      </w:r>
    </w:p>
    <w:p>
      <w:r>
        <w:rPr>
          <w:b/>
        </w:rPr>
        <w:t>E. 6.6.1</w:t>
      </w:r>
    </w:p>
    <w:p>
      <w:r>
        <w:t>À titre d'exemples, le critère du facteur extérieur extraordinaire a été admis dans le cas d'une charge contre la balustrade subie par un hockeyeur (ATF 130 V 117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![endif]&gt;![if&gt;</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w:t>
      </w:r>
    </w:p>
    <w:p>
      <w:r>
        <w:t>![endif]&gt;![if&gt;</w:t>
      </w:r>
    </w:p>
    <w:p>
      <w:r>
        <w:rPr>
          <w:b/>
        </w:rPr>
        <w:t>E. 8.1</w:t>
      </w:r>
    </w:p>
    <w:p>
      <w:r>
        <w:t>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h).![endif]&gt;![if&gt;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8.2</w:t>
      </w:r>
    </w:p>
    <w:p>
      <w:r>
        <w:t>En l’espèce, il n’est ni contesté, ni contestable que la recourante souffre d’une tendinopathie microfissuraire d’insertion des tendons fléchisseurs avec discrète tuméfaction des structures de voisinage, à savoir une lésion des tendons, atteinte ne figurant pas au nombre de celles assimilables à un accident, puisqu’il n’y a pas eu de déchirure du tendon. ![endif]&gt;![if&gt;</w:t>
      </w:r>
    </w:p>
    <w:p>
      <w:r>
        <w:rPr>
          <w:b/>
        </w:rPr>
        <w:t>E. 9</w:t>
      </w:r>
    </w:p>
    <w:p>
      <w:r>
        <w:t>L’intimée rappelle que le caractère extraordinaire de l’atteinte ne concerne pas les effets du facteur extérieur, mais seulement ce facteur lui-même. Dès lors, il importe peu que le facteur extérieur ait, le cas échéant, entraîné des conséquences graves ou inattendues. Le facteur extérieur est considéré comme extraordinaire lorsqu’il excède le cadre des événements et des situations que l’on peut objectivement qualifier de quotidiens ou d’habituels, ce qui, selon l’intimée, n’est pas le cas en l’occurrence, puisque réaliser de tels exercices de gymnastique est normal dans la vie quotidienne et professionnelle de la recourante. ![endif]&gt;![if&gt; Elle se réfère notamment à la jurisprudence concernant un joueur de football qui avait stoppé brusquement dans une phase de jeu et pivoté sur sa jambe droite. Le Tribunal fédéral des assurances avait considéré qu’un tel mouvement était courant dans un tel sport, qu’il ne s’agissait pas d’un événement inhabituel et que, par conséquent, une lésion survenant dans ces circonstances n’était pas à considérer comme accidentelle (ATF 116 V 136 consid. 3c). Et l’intimée d’invoquer la jurisprudence rendue en matière de handball, de volley-ball ou encore de football et de rappeler que, dans le cadre de la pratique de ces sports, le Tribunal fédéral considère que les gestes forcés, les déséquilibres, voire de légers contacts avec un adversaire, font partie du déroulement normal du jeu, de sorte qu’ils ne constituent pas un facteur extérieur extraordinaire, pas plus que les réceptions avec des mouvements corporels inhabituels ou les changements abrupts de direction. Elle en tire la conclusion qu’un coude qui part subitement dans le mauvais sens ne saurait être qualifié de mouvement incontrôlé ou involontaire. Il est vrai que la pratique de la gymnastique fait partie de la vie quotidienne de la recourante, qui l’a d’ailleurs admis dans le questionnaire à l’intention de l’assureur-accidents. Dans ce même questionnaire, la recourante a répondu par la négative à la question de savoir s’il s’était passé quelque chose d’inhabituel. Cela étant, il n’en demeure pas moins que, depuis le début (dans sa déclaration d’accident, dans le questionnaire à l’intention de l’assureur, puis dans toutes ses écritures), la recourante a également indiqué que son « coude était parti vers l’arrière » alors qu’elle effectuait sa démonstration de saut sur le caisson. On peut en déduire que si un tel mouvement était habituel, l’assurée n’aurait pas pris la peine d’en faire état dans toutes ses descriptions successives de l’évènement. Reste à établir si ce mouvement inhabituel lors de l’accomplissement de la figure est suffisant aux yeux de la jurisprudence pour admettre l’existence d’un facteur extérieur extraordinaire. Outre les jurisprudences rappelées supra, dont il convient cependant de relever qu’elles se rapportent, pour la plupart, à des sports d’équipe impliquant par essence un risque de contact accru, contrairement à la gymnastique, il convient d’évoquer les suivantes, qui se rapprochent davantage du complexe de faits soumis à la Cour de céans. Dans un arrêt U 17/02 du 10 décembre 2002, concernant un assuré s’étant mal réceptionné dans l'eau, alors qu'il effectuait un plongeon d'une hauteur de sept mètres à la piscine, notre Haute Cour a jugé que le choc ressenti par l'assuré en raison du mauvais positionnement de son corps lors de la pénétration dans l’eau ne pouvait être qualifié de facteur extraordinaire. Selon elle, la position incorrecte de l'assuré lors de l'impact de son corps dans l'eau ne pouvait être considérée comme un mouvement non programmé au sens dégagé par la jurisprudence, dès lors que l’intéressé n’avait pas effectué un mouvement désordonné et involontaire, tel un mouvement de recul effectué par réflexe. De même, le Tribunal fédéral a nié le caractère extraordinaire du facteur extérieur s’agissant d’une roulade effectuée au cours d'une leçon de gymnastique ayant entraîné des douleurs dans la nuque (arrêt non publié Winterthur du 28 juin 2002, U 98/01). Il a également jugé que l'exécution légèrement imparfaite d'une figure de gymnastique ou d'un mouvement dans l'exercice d'un sport ne constituait pas, selon la jurisprudence, un accident au sens de la loi (arrêts non publiés SWICA du 21 septembre 2001, U 134/00 ; S. du 1 er avril 1998, U 304/97). Dans un arrêt U 164/04 du 14 avril 2005, concernant un maître d'éducation physique dont le dos s’était bloqué alors qu’il faisait la démonstration d'une culbute avant sur grand caisson avec mini-trampoline (blocage du nerfs sciatique), laquelle constituait pour lui une activité habituelle, le Tribunal fédéral a également nié l’existence d’un facteur extérieur extraordinaire, l’activité s’étant a priori déroulée dans des circonstances extérieures normales. En l’occurrence, néanmoins, comme l’a relaté la recourante sans varier dans sa description des faits, son coude « est parti vers l’arrière ». Si la figure à effectuer entrait donc bien dans la norme de ses activités quotidiennes, la manière dont la recourante s’est réceptionnée sur le caisson sortait, elle, clairement de l’ordinaire. La Cour de céans est d’avis que la situation est similaire à celle de la gymnaste s’étant mal réceptionnée à l’issue d’un saut de carpe – situation dans laquelle notre Haute Cour a admis l’existence d’un accident (arrêt U 43/92 op. cit.). Contrairement aux cas cités ci-dessus, dans lesquels, effectivement, un facteur extérieur extraordinaire faisait défaut, les circonstances extérieures étant normales, il y a bel et bien eu un mouvement incontrôlé du coude de l’assurée au moment de la figure et de la réception sur le caisson, mouvement qui doit être qualifié de facteur extérieur extraordinaire. Dès lors, c’est à tort que l’intimée a nié le caractère accidentel de l’évènement du 24 septembre 2020. Eu égard à ces considérations, le recours est admis, la décision du 29 mars 2022 annulée et la cause renvoyée à l’intimée à charge pour elle d’examiner les autres conditions de sa responsabilité et de statuer sur les prestations éventuellement dues à la recourante.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