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A/1483/2021 vom 2. Dezember 2021</w:t>
      </w:r>
    </w:p>
    <w:p>
      <w:r>
        <w:t>GE Cour de justice, 2021-12-02, FR</w:t>
      </w:r>
    </w:p>
    <w:p>
      <w:r>
        <w:rPr>
          <w:b/>
        </w:rPr>
        <w:t xml:space="preserve">Quelle: </w:t>
      </w:r>
      <w:r>
        <w:t>https://mcp.opencaselaw.ch/entscheid/ge_gerichte_A_1483_2021</w:t>
      </w:r>
    </w:p>
    <w:p>
      <w:r>
        <w:t>FR: GE_GERICHTE A/1483/2021 du 2 décembre 2021</w:t>
      </w:r>
    </w:p>
    <w:p>
      <w:r>
        <w:t>IT: GE_GERICHTE A/1483/2021 del 2 dicembre 2021</w:t>
      </w:r>
    </w:p>
    <w:p>
      <w:pPr>
        <w:pStyle w:val="Heading2"/>
      </w:pPr>
      <w:r>
        <w:t>Regeste</w:t>
      </w:r>
    </w:p>
    <w:p>
      <w:r>
        <w:t>plainte contre état de collocation imprécis, inintelligible ou entaché de vices de forme; créance écartée avec argumentation sommaire; griefs de fond irrecevables par la voie de la plainte; réminération de l'administrateur | lp.17; lp.22; lp.248; oaof.58.al2</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plainte doit être déposée, sous forme écrite et motivée (art. 9 al. 1 et 2 LaLP; art. 65 al. 1 et 2 LPA, applicable par renvoi de l'art. 9 al. 4 LaLP), dans les dix jours de celui où le plaignant a eu connaissance de la mesure entreprise (art. 17 al. 2 LP). Elle peut également être déposée en tout temps en cas de nullité de l'acte contesté (art. 22 al. 1 LP). La plainte contre l'état de collocation doit être déposée dans les dix jours dès la publication de son dépôt (Jaques, Commentaire Romand, Poursuites et faillite, 2005, n° 60 ad art. 247 LP, n° 19 et 21 ad art. 250 LP). 1.1.3 En application de l'art. 248 LP, l'état de collocation indique les créances qui ont été écartées et les motifs de cette mesure.Aux termes de l'art. 58 al. 2 OAOF, la décision de l'Office sur une production figurant dans l'état de collocation est sommairement motivée. 1.1.4 La voie de la plainte est ouverte à tout créancier contre un état de collocation imprécis, inintelligible, ou entaché de vices de forme ou encore lorsque certaines prescriptions de procédure gouvernant l'établissement de tels actes n'ont pas été observées, avec incidence de droit matériel (ATF 103 III 13 consid. 2 = JdT 1979 II 34; arrêts du Tribunal fédéral 5A_709/2015 du 15 janvier 2016 consid. 4.1, 5A_329/2012 du 5 septembre 2012 consid. 4.4; Rey-Mermey, Commentaire Romand, Poursuite et faillite, 2005, n° 1 et 2 ad art. 148 LP). Les décisions en matière de collocation qui ne sont pas claires et univoques, soit celles qui ne permettent pas de savoir si une créance produite est admise ou non, sont entachées de nullité – invocable en tout temps (art. 22 al. 1 LP) par le biais d'une plainte – car elles créent une incertitude sur le point de savoir qui devrait, le cas échéant, ouvrir action en contestation de l'état de collocation et, en outre, elles ne constituent pas une base suffisante pour procéder à la distribution des deniers (ATF 103 III 13 consid. 2 = JdT 1979 II 34; 99 III 66 consid. 2 = JdT 1975 II 22; 96 III 74 consid. 2 = JdT 1971 II 2; ATF 85 III 93 consid. 2, JdT 1959 II 114; Jaques , op. cit ., n° 60 ad art. 247 LP, n° 21 ad art. 250 LP). De même, l'absence de décision sur un droit à colloquer d'office ou qui résulte des registres ou encore le refus durable de statuer sur une production (déni de justice ou retard injustifié – art. 17 al. 3 LP) ouvrent la voie à la plainte (Jaques , op. cit ., n° 21 ad art. 250 LP). A titre d'exemple, la motivation " la prétention est écartée car infondée " a été jugée insuffisamment explicite et nulle (ATF 38 I 228 consid. 3). Des problèmes de droit matériel liés à l'existence, au montant, au rang, ou à l'exigibilité d'un droit porté à l'état de collocation sont en principe irrecevables dans le cadre d'une plainte, ces griefs devant être soumis au juge par l'action en contestation de l'état de collocation de l'art. 250 LP, qu'elle soit dirigée contre la masse (al. 1) ou contre un intervenant (al. 2) (cf. ATF 105 III 122 consid. 4, JdT 1981 II 75 et les réf.; 93 III 84 consid. 2, JdT 1968 II 39; Jaques , op. cit ., n° 2, 14-15 ad art. 250 LP). 1.1.5 L'art. 678 al. 1 et 2 CO (titre marginal : " E. restitution de prestations, I. En général "), les actionnaires et membres du conseil d'administration, ainsi que les personnes qui leur sont proches, qui ont perçu indument et de mauvaise foi des dividendes, des tantièmes, d'autres parts de bénéfice ou des intérêts intercalaires sont tenus à restitution (al. 1). Ils sont également tenus de restituer les autres prestations de la société qui sont en disproportion évidente avec leur contre-prestation et la situation économique de la société (al. 2). Selon l'art. 679 CO (titre marginal : " II. Tantièmes en cas de faillite "), en cas de faillite de la société, les membres du conseil d'administration doivent restituer les tantièmes qu'ils ont reçus au cours des trois ans précédant l'ouverture de la faillite, à moins qu'ils ne prouvent que les conditions posées par la loi et les statuts pour la distribution des tantièmes étaient remplies et en particulier que cette distribution était fondée sur un bilan établi avec prudence. L'art. 679 CO règle spécifiquement la restitution des tantièmes perçus par l'administrateur dans les trois ans précédant la faillite de la société. Elle constitue à ce titre une loi spéciale qui l’emporte sur l'art 678 CO dont la portée est plus large. L'art. 679 CO vise exclusivement les tantièmes, à l’exclusion de toute autre forme de participation au bénéfice ou de rémunération sous forme d’honoraires, fixes ou variables. Seuls les tantièmes déclarés comme telssont concernés, à l'exclusion des tantièmes occultes qui tombent sous le coup de la disposition générale de l'art. 678 al. 2 CO. Si la portée de la norme est ainsi très restreinte, son impact est renforcé par l'introduction d'un renversement du fardeau de la preuve sous la forme d'une présomption du caractère suspect des prélèvements opérés peu avant la faillite de la société. L’administrateur est soumis à restitution même s’il n’est plus enrichi (Chenaux/Gachet, Commentaire Romand, CO II, n° 5 ad art. 678 CO et n° 1, 3, 4 ad art. 679 CO). Le but de l'art. 678 CO est de protéger les fonds propres de la société contre les distributions illicites à l’actionnaire, à l’administrateur ou à leurs proches. La notion de "prestation" au sens de cette norme doit être comprise largement. Elle couvre tout acte de disposition ou d’abstention du patrimoine de la société par lequel le bénéficiaire perçoit un avantage appréciable en argent au détriment de la société, qui se trouve ainsi appauvrie. Il en va notamment ainsi de rémunérations inusuelles et d’indemnités de licenciement excessives entamant le capital-actions et les réserves légales. L’étendue du devoir de restitution est controversée et le Tribunal fédéral a laissé la question ouverte. Il faut admettre qu’il ne porte que sur la partie de la prestation qui est en disproportion manifeste avec la prestation reçue (Chenaux/Gachet, op. cit ., n° 14, 15 ad art. 678 CO). L'art. 678 al. 1 CO vise les distributions ouvertes ou apparentes de bénéfice, soit les prestations déclarées comme telles par la société. L'art. 678 al. 2 CO sanctionne la distribution de dividendes occultes (Chenaux/Gachet, op. cit ., n° 3 ad art. 678 CO). 1.2.1 En l'espèce, la question – soulevée par l'administration spéciale – de savoir si la plainte doit être déclarée irrecevable parce que le plaignant n'aurait pas préservé ses droits au fond par le dépôt d'une action en contestation de l'état de collocation n'a pas à être examinée, une telle action ayant bien été déposée, dans le délai légal, par le plaignant. 1.2.2 A la forme, la plainte est recevable pour avoir été déposée dans le délai de dix jours dès le dépôt de l'état de collocation et selon la forme prévue par les normes susmentionnées. De surcroît, le plaignant dispose d'un intérêt à agir. 1.2.3 Reste à examiner la question de savoir si le grief soulevé par le plaignant, à savoir l'examen et la motivation insuffisants de sa prétention par l'administration spéciale pour décider de l'écarter de l'état de collocation, est en l'occurrence recevable dans le cadre d'une plainte au sens de l'art. 17 LP ou s'il relève de l'action en contestation de l'état de collocation. A cet égard, il ressort des développements en droit figurant ci-dessus que la sanction de la nullité d'une décision de collocation découlant d'une activité déficiente de l'administration de la faillite ne découle pas du seul fait que cette décision serait mal ou faussement motivée. Dans ce cas, c'est l'action en contestation de l'état de collocation qui est ouverte puisqu'il s'agit de déterminer l'existence et la quotité de la créance inscrite. Ce n'est que lorsque la décision, telle que formulée par l'administration de la faillite, n'est pas compréhensible – à savoir que l'on ne comprend pas si la créance est admise ou rejetée – qu'elle doit être annulée. Or, en l'espèce, il ressort de la décision figurant à l'état de collocation que la créance est rejetée et la motivation consiste en un renvoi à deux dispositions légales qui indiquent à quelles conditions une rémunération n'est pas due par la société anonyme à ses actionnaires ou administrateurs. La décision est par conséquent clairement énoncée et elle est motivée, certes sommairement mais de manière compréhensible. Le plaignant a d'ailleurs pu déposer une action en contestation de collocation et développer une argumentation pour contester que les conditions d'application des art. 678 al. 2 et 679 CO soient réunies en l'espèce. Il développe, du reste, des arguments similaires dans la présente procédure. Il s'agit toutefois de griefs portant sur le fond de la créance et non sur la manière dont l'administration spéciale a déployé son activité et ils ne sont donc pas recevables dans le cadre d'une plainte. Quant à considérer que l'administration spéciale aurait pris sa décision sans aucun examen préalable, la Chambre constate que l'application des art. 678 al. 2 et 679 CO fait appel à une certaine appréciation dans l'évaluation de la disproportion et le montant très important de la rémunération du plaignant – pour une activité d'administrateur qu'il ne décrit nulle part – pouvait susciter la décision prise par les administrateurs spéciaux. Finalement, savoir si la rémunération litigieuse du plaignant entre bien dans les catégories que visent les art. 678 al. 2 et 679 CO et si l'administration spéciale ne serait pas trompée en les appliquant au cas d'espèce, relève de l'examen du fond de la créance et par voie de conséquence de l'action en contestation de l'état de collocation. Il découle de ce qui précède que la plainte est irrecevable, les griefs développés par le plaignant ne relevant pas l'autorité de surveillance saisie en application de l'art. 17 LP, mais du juge civil saisi en application de l'art. 250 LP.</w:t>
      </w:r>
    </w:p>
    <w:p>
      <w:r>
        <w:rPr>
          <w:b/>
        </w:rPr>
        <w:t>E. 4</w:t>
      </w:r>
    </w:p>
    <w:p>
      <w:r>
        <w:t>La procédure de plainte est gratuite (art. 20a al. 2 ch. 5 LP; art. 61 al. 2 let. a OELP) et ne donne pas lieu à l'allocation de dépens (art. 62 al. 2 OELP). * * * * * PAR CES MOTIFS, La Chambre de surveillance : A la forme : Déclare irrecevable la plainte déposée le 30 avril 2021 par A______ contre l'état de collocation dans la faillite de B______ SA, EN LIQUIDATION déposé le 20 avril 2021.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