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A/1479/2001 vom 18. August 2004</w:t>
      </w:r>
    </w:p>
    <w:p>
      <w:r>
        <w:t>GE Cour de justice, 2004-08-18, FR</w:t>
      </w:r>
    </w:p>
    <w:p>
      <w:r>
        <w:rPr>
          <w:b/>
        </w:rPr>
        <w:t xml:space="preserve">Quelle: </w:t>
      </w:r>
      <w:r>
        <w:t>https://mcp.opencaselaw.ch/entscheid/ge_gerichte_A_1479_2001</w:t>
      </w:r>
    </w:p>
    <w:p>
      <w:r>
        <w:t>FR: GE_GERICHTE A/1479/2001 du 18 août 2004</w:t>
      </w:r>
    </w:p>
    <w:p>
      <w:r>
        <w:t>IT: GE_GERICHTE A/1479/2001 del 18 agosto 2004</w:t>
      </w:r>
    </w:p>
    <w:p>
      <w:pPr>
        <w:pStyle w:val="Heading2"/>
      </w:pPr>
      <w:r>
        <w:t>Regeste</w:t>
      </w:r>
    </w:p>
    <w:p>
      <w:r>
        <w:t>; AVS ; ASSURANCE-VIEILLESSE, SURVIVANTS ET INVALIDITÉ ; DOMMAGE ; POURSUITE PAR VOIE DE FAILLITE ; QUALITÉ POUR AGIR ; RESPONSABILITÉ FONDÉE SUR LE DROIT PUBLIC ; RESPONSABILITÉ DE L'EMPLOYEUR(AVS) ; CONSEIL D'ADMINISTRATION; MEMBRE ; ORGANE(PERSONNE MORALE) | LAVS.52</w:t>
      </w:r>
    </w:p>
    <w:p>
      <w:pPr>
        <w:pStyle w:val="Heading2"/>
      </w:pPr>
      <w:r>
        <w:t>Erwägungen</w:t>
      </w:r>
    </w:p>
    <w:p>
      <w:r>
        <w:rPr>
          <w:b/>
        </w:rPr>
        <w:t>E. 4</w:t>
      </w:r>
    </w:p>
    <w:p>
      <w:r>
        <w:t>Aux termes de l’article 82, alinéa 1 RAVS,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 qui est fondé sur l'estimation de l'Office - pour le montant impayé, c'est-à-dire pour le montant de son découvert (cf. art. 149 al. 1 LP;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 115 al. 1 en relation avec l'art. 149 LP; ATF. 113 V 258 consid. 3c; RCC 1988 p. 137 ; Gilliéron , op.cit. p. 179, 224). Dans ce dernier cas, la réception du procès-verbal de saisie valant acte de défaut de bien définitif fait courir le délai de péremption d'une année de l'article 82 al. 1 RAVS.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118 V 196 consid. 3a; VSI 1995, p. 169-170, consid. 2; ATF 116 II 161 , consid. 4a; 116 V 75 , consid 3b = RCC 1990, p. 415).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qui concerne le respect des conditions formelles de l’action en responsabilité fondée sur l’art. 52 LAVS (ATF 119 V 96 = VSI 1993 p. 110). En l’occurrence, la faillite de la société a été prononcée le 2 juin 1998 et le 9 octobre 2000, l’Office des faillites informait la Caisse que la faillite se trouvait au stade de l’inventaire et qu’elle serait probablement clôturée par défaut d’actifs (cf. pièces nos 13 et 20 Caisse). C’est à ce moment-là que la demanderesse a eu connaissance de son dommage et que le délai de péremption d’un an a commencé à courir. Par jugement du 31 mars 1998, le Tribunal de première instance a prononcé la faillite personnelle du défendeur (cf. pièce no. 12 Caisse). Le Tribunal de céans constate cependant que la créance en réparation du dommage de la demanderesse à l’encontre du défendeur est née le 2 juin 1998 au moment où le dommage est survenu, soit postérieurement à sa faillite personnelle; le défendeur avait en conséquence qualité pour défendre, de sorte que la Caisse était fondée à lui notifier une décision en réparation du dommage (VSI 1997 p. 216, consid. 5 et 6). La demanderesse a agi dans le délai de péremption d’un an et de cinq ans dès le fait dommageable. Le défendeur a formé opposition dans les trente jours, conformément à l’article 81 alinéa 2 RAVS et la Caisse a saisi l’autorité de recours dans le délai légal prévu par l’article 81 alinéa 3 RAVS ; tant l’opposition que la requête en mainlevée sont ainsi recevables.</w:t>
      </w:r>
    </w:p>
    <w:p>
      <w:r>
        <w:rPr>
          <w:b/>
        </w:rPr>
        <w:t>E. 5</w:t>
      </w:r>
    </w:p>
    <w:p>
      <w:r>
        <w:t>Aux termes de l’article 52 LAVS, l’employeur est tenu de couvrir le dommage qu’il a causé en violant les prescriptions intentionnellement ou par négligence grave, étant rappelé qu’il s’agit d’une disposition spéciale (RCC 1989 p. 117). En l’occurrence, le dommage consiste en la perte de la créance de cotisations subie par la caisse, en raison de la faillite de la société X__________SA, pour un montant de 19'544 fr. 70, représentant les cotisations sociales impayées pour la période d’avril 1997 à mars 1998, plus un complément d’octobre 1997 à décembre 1997, ainsi que celles dues au régime des allocations familiales d’octobre à décembre 1997 (cf. pièces nos. 1, 4 à 6 Caisse).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108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w:t>
      </w:r>
    </w:p>
    <w:p>
      <w:r>
        <w:rPr>
          <w:b/>
        </w:rPr>
        <w:t>E. 6</w:t>
      </w:r>
    </w:p>
    <w:p>
      <w:r>
        <w:t>En l’espèce, le défendeur était inscrit au registre du commerce en qualité d’administrateur unique, au bénéfice d’une signature individuelle, dès la constitution de la société le 4 novembre 1991 (cf. pièce n° 42 Caisse). Il avait ainsi indiscutablement la qualité d’organe de la société faillie, ce qu’il ne conteste au demeurant pas (art. 754 al. 1 CO).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 RCC 1985 p. 603 consid. 2, 647 consid. 3a). Ainsi,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 ATF 108 V 188 ; RCC 1992 p. 261 consid. 4b). Le défendeur n’invoque aucun motif de nature à le disculper, se bornant à alléguer que la demanderesse n’a pas justifié le montant de son dommage. Le Tribunal de céans constate que le défendeur n’a pas rempli ses obligations élémentaires d’employeur, en s’abstenant de communiquer à la Caisse les déclarations de salaires durant plusieurs mois et en ne reversant pas les cotisations sociales prélevées sur les salaires des employés. Ce n’est qu’après dénonciation au Procureur général qu’il s’est acquitté de la part pénale (pièces nos. 34 et 35 Caisse). Aucun élément du dossier ne permet de retenir que la société se trouvait temporairement dans une passe délicate de sa trésorerie ; la faillite a en effet été clôturée par défaut d’actifs. Force est d’admettre en l’occurrence que le défendeur a violé gravement les devoirs que lui imposait sa charge d’administrateur unique de la société, de sorte qu’il répond entièrement du dommage subi par la caisse de compensation. Quant au montant du dommage, il correspond au solde de cotisations paritaires impayées pour la période d’avril 1997 à mars 1998, ainsi qu’aux cotisations dues au régime des allocations familiales (soit 339 fr 15), frais de sommation, de poursuite et intérêts moratoires inclus (pièce no. 1 Caisse). La Caisse a établi en date du 20 novembre 2003 un décompte complet et détaillé des cotisations encore dues et produit toutes les pièces y relatives (cf. pièces complémentaires). Le défendeur n’a apporté aucun élément permettant au Tribunal de céans de s’en écarter. Dans le cadre de la présente procédure, la mainlevée ne sera toutefois accordée qu’à concurrence de la somme de 19'205 fr. 55, le montant dû au titre des allocations familiales faisant l’objet d’une procédure distincte, introduite par-devant la Commission cantonale de recours en matière d’allocations familiales le 22 décembre 2000 et enregistrée sous le numéro de cause A/1527/2001.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