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A/1476/2013 vom 11. November 2013</w:t>
      </w:r>
    </w:p>
    <w:p>
      <w:r>
        <w:t>GE Cour de justice, 2013-11-11, FR</w:t>
      </w:r>
    </w:p>
    <w:p>
      <w:r>
        <w:rPr>
          <w:b/>
        </w:rPr>
        <w:t xml:space="preserve">Quelle: </w:t>
      </w:r>
      <w:r>
        <w:t>https://mcp.opencaselaw.ch/entscheid/ge_gerichte_A_1476_2013</w:t>
      </w:r>
    </w:p>
    <w:p>
      <w:r>
        <w:t>FR: GE_GERICHTE A/1476/2013 du 11 novembre 2013</w:t>
      </w:r>
    </w:p>
    <w:p>
      <w:r>
        <w:t>IT: GE_GERICHTE A/1476/2013 del 11 novembre 2013</w:t>
      </w:r>
    </w:p>
    <w:p>
      <w:pPr>
        <w:pStyle w:val="Heading2"/>
      </w:pPr>
      <w:r>
        <w:t>Erwägungen</w:t>
      </w:r>
    </w:p>
    <w:p>
      <w:r>
        <w:rPr>
          <w:b/>
        </w:rPr>
        <w:t>E. 25</w:t>
      </w:r>
    </w:p>
    <w:p>
      <w:r>
        <w:t>novembre 2011. En prenant en compte un abattement de 20%, le nouveau degré d'invalidité lui donnait droit à un reclassement professionnel. Enfin, l'intimé n'avait mis en œuvre aucune mesure professionnelle, alors que l'expert avait pourtant suggéré de le faire. ![endif]&gt;![if&gt; A l'appui de son recours, la recourante produit un rapport établi le 3 mai 2013 par le Dr V__________, spécialiste FMH en chirurgie et chirurgie de la main, selon lequel les capacités de travail de la recourante en tant que femme de ménage sont nulles, comme l'avait souligné le Dr T__________. Le Dr V__________ est d'avis que l'exercice d'une activité adaptée pourrait être envisagée, à condition de tenter un reclassement professionnel. 31.    Par courrier du 10 mai 2013 adressé à l'intimé, la Cour de céans a notamment sollicité la preuve de la date à laquelle la décision litigieuse avait été reçue par la recourante.![endif]&gt;![if&gt; 32.    Par réponse du 7 juin 2013, l'intimé conclut au rejet du recours pour les motifs indiqués dans sa décision. Il ajoute que l'instruction du dossier a été complète puisqu'il appartenait au service de réadaptation professionnelle de déterminer si des mesures d'ordre professionnel étaient nécessaires et l'avis de l'expert était, à ce propos, une simple suggestion. S'agissant de l'abattement de 20% invoqué par la recourante, il ne pouvait être retenu, de sorte que le degré d'invalidité de 16.82% devait être confirmé. S'agissant du rapport produit par la recourante, l'intimé explique l'avoir soumis à la Dresse W__________, médecin auprès du SMR. Par avis du 31 mai 2013, ce praticien relève que le Dr V__________ ne conteste pas la capacité entière de la recourante avec baisse de rendement de 25% dans une activité adaptée. Les aspects concernant un reclassement professionnel ne sont pas du ressort des médecins, de sorte que les conclusions du SMR rendues le 22 août 2012 demeuraient inchangées. ![endif]&gt;![if&gt; 33.    Par réplique du 8 juillet 2013, la recourante persiste dans ses conclusions.![endif]&gt;![if&gt; 34.    Par duplique du 25 juillet 2013, l'intimé relève que la recourante aurait déjà pu solliciter une aide au placement, conformément au projet de décision et à la décision. Un abattement sur le revenu d'invalide ne se justifie pas. La recourante est en Suisse et y travaille depuis 1986, l'âge de la recourante au moment de la survenance de l'invalidité est éloigné du seuil à partir duquel la jurisprudence parle d'un âge avancé et les limitations fonctionnelles ont déjà été prises en compte dans le cadre de la baisse de rendement de 25% et ne peuvent l'être une deuxième fois. Le fait de ne pas maîtriser la langue française et le manque de formation professionnelle ne constituent pas des critères de réduction du salaire statistique.![endif]&gt;![if&gt; 35.    Après avoir adressé une copie de cette écriture à la recourante, la Cour de céans a gardé la cause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la décision litigieuse du 21 mars 2013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Aux termes de l'art. 60 LPGA, le recours doit être déposé dans les trente jours suivant la notification de la décision sujette à recours (al. 1). Les art. 38 à 41 sont applicables par analogie (al. 2). Les délais en jours ou en mois fixés par la loi ou par l'autorité ne courent pas du 7ème jour avant Pâques au 7ème jour après Pâques inclusivement (art. 38 al. 4 let. a LPGA). ![endif]&gt;![if&gt;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devoir du juge de constater les faits pertinents ne dispense donc pas les parties de collaborer à l’administration des preuves en donnant des indications sur les faits de la cause ou en désignant des moyens de preuve (ATF 130 I 174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261 consid. 3), sauf si l’impossibilité de prouver un fait peut être imputée à son adverse partie (ATF 124 V 372 consid. 3). Le Tribunal fédéral a ainsi statué que le fardeau de la preuve doit exceptionnellement être renversé lorsqu'une partie ne peut pas apporter une preuve pour des raisons qui ne lui sont pas imputables, mais à l'administration. Un tel cas de renversement du fardeau de la preuve a par exemple été admis en cas d'absence de preuve quant au respect du délai de recours, due au fait que l'administration ou l'autorité n'ont pas conservé au dossier de l'assuré l'enveloppe dans laquelle leur avait été envoyé l'acte de recours, en violation de leur devoir de gestion du dossier, et ont de ce fait empêché l'apport de la preuve quant au respect du délai de recours (ATF non publié 9C_632/2012 du 10 janvier 2013, consid. 6.2.1 et les arrêts cités). En l'occurrence, la recourante allègue avoir reçu, en date du 25 mars 2013, la décision litigieuse datée du 21 mars 2013. S'agissant de la notification de la décision précitée, la Cour de céans relèvera que l'intimé n'a pas apporté la preuve de la date à laquelle la recourante l'a reçue. Par ailleurs, dans la mesure où aucune pièce versée au dossier ne laisse supposer que cette décision aurait été reçue à une date antérieure à celle alléguée par la recourante et que, de surcroît, l'intimé ne l'invoque pas, il y a lieu de retenir que le recours, déposé le 7 mai 2013 dans la forme prévue par la loi, est recevable compte tenu de la suspension du délai de recours du 7 ème jour avant Pâques au 7 ème jour après Pâques inclusivement. 5.        Le litige porte sur le point de savoir si c'est à juste titre que l'intimé a supprimé le droit de la recourante à toutes les prestations à compter du 1 er février 2012, étant précisé que la recourante ne conteste pas le versement d'une rente entière dès le 1 er décembre 2009.![endif]&gt;![if&gt; 6.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4.1).![endif]&gt;![if&gt;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RJJ 1995, p. 44; RCC 1988 p. 504 consid. 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l’occurrence, l'intimé a retenu, en se fondant sur l'appréciation du Dr T__________, que la recourante présentait dès le 18 novembre 2008, en raison de ses atteintes à la santé, une incapacité de travail totale, puis dès le 17 octobre 2011, une capacité de travail entière dans une activité adaptée, avec une baisse de rendement de 25%. La recourante est d'avis que la baisse de rendement de 25 % aurait dû faire l'objet d'une instruction complémentaire. ![endif]&gt;![if&gt; Dans son rapport du 18 octobre 2011, le Dr T__________, spécialiste FMH en médecine interne et rhumatologie, a diagnostiqué des douleurs neurogènes chroniques des deux poignets et des deux mains dans le contexte d'un status après cure de canal carpien à deux reprises des deux côtés, après transposition du nerf cubital au coude droit, après fracture de l'épiphyse distale des deux radius et après discectomie C5-C6 et C6-C7 et mise en place de deux cages intervertébrales en janvier 2011. L’expert a expliqué que ces atteintes avaient des répercussions sur la capacité de travail de la recourante, en raison des douleurs neurogènes chroniques des deux membres supérieurs au niveau des mains qui limitaient ses efforts de préhension, les mouvements répétitifs avec les poignets, les ports de charges et les mouvements nécessitant une dextérité fine. L'activité habituelle n'était plus exigible, mais dans une activité adaptée aux limitations fonctionnelles, soit les travaux ne nécessitant pas des efforts de préhension importants et répétitifs, ni des mouvements en flexion-extension des deux poignets, ni une dextérité fine et des mouvements rapides avec les doigts, l'expert a estimé que la recourante avait une capacité de travail entière, mais avec un rendement diminué de 25%. La Cour de céans constate que l’expertise du Dr T__________ repose sur un examen de la recourante effectué le 17 octobre 2011 et l’étude de son dossier médical. L’anamnèse est détaillée et les plaintes de la recourante ont été prises en considération. L’expertise est en outre très bien motivée puisqu’elle explique pourquoi l’expert a retenu les diagnostics précités, leurs répercussions sur la capacité de travail de la recourante et sur son rendement. Ses conclusions sont ainsi dûment motivées. Il y a donc lieu de reconnaître une valeur probante entière à ce rapport d’expertise, ce que les parties ne contestent pas au demeurant. S'agissant de la baisse de rendement de 25% retenue par le Dr T__________, le SMR, dans son avis du 22 novembre 2011, a certes indiqué, comme le mentionne la recourante, qu'elle restait à vérifier probablement par mise en situation. Cela étant, à la lecture de cet avis, il apparaît que la vérification du rendement se justifiait dans le cas où un renforcement du traitement antalgique pour les douleurs neurogènes serait exigé de la part de la recourante, car celui-ci pouvait réduire le dommage. Or, il n'apparaît pas au dossier qu'une telle mesure ait été mise en place. Par ailleurs, on rappellera que la diminution de rendement relève spécifiquement de l'évaluation médicale de la capacité résiduelle de travail (voir ATF non publié 9C_289/2012 du 15 octobre 2012, consid. 3.2) et le Dr T__________ a expliqué de manière convaincante que la baisse de rendement retenue se justifiait par les troubles neurologiques qui ralentiront certainement l'exécution des tâches confiées (page 8 du rapport d'expertise). En outre, aucun autre spécialiste n'a émis une opinion contraire apte à mettre en doute l'appréciation de l'expert sur ce point. A cet égard, si le Dr V__________, dans son rapport du 3 mai 2013, ne s'est certes pas prononcé sur le rendement de la recourante dans une activité adaptée, il n'a néanmoins nullement contesté les conclusions retenues par l'expert sur ce point. Ainsi, au vu des pièces versées au dossier, il apparaît qu’il n’existe pas d'élément susceptible d’ébranler sérieusement la crédibilité des conclusions du Dr T__________ s'agissant de la baisse de rendement retenue. Compte tenu de ce qui précède, c'est à juste titre que l'intimé a considéré que la recourante présentait, en raison de ses atteintes physiques, une capacité de travail nulle dès le 18 novembre 2008 et une capacité de travail totale dans une activité adaptée, avec une baisse de rendement de 25%, dès le 17 octobre 2011. 11.    Il convient dès lors d'examiner le degré d’invalidité que présentait la recourante compte tenu de l’amélioration de sa capacité de gain dès octobre 2011.![endif]&gt;![if&gt; 12.    En vertu de l’art. 28 al. 2 LAI, l’assuré a droit à une rente entière s’il est invalide à 70% au moins, à un trois-quarts de rente s'il est invalide à 60% au moins, à une demi-rente s’il est invalide à 50% au moins, ou à un quart de rente s’il est invalide à 40% au moins.![endif]&gt;![if&gt;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13.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en principe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En cas de changement important ayant une incidence sur la capacité de gain, il y a lieu de se placer au moment où a lieu le changement (ATFA I 95/07 du 15 février 2008, consid. 5).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Le Tribunal fédéral a ainsi pris en compte l'âge en tant que critère justifiant un abattement du salaire statistique dans le cas d'un assuré ayant 55 ans (ATF non publié 9C_289/2012 du 15 octobre 2012, consid. 3.3.2.2), 52 ans (ATFA non publié I 28/04 du 9 mars 2005) et même 49 ans (ATF non publié 9C_854/2010 du 30 décembre 2010, consid. 4). Le Tribunal fédéral a par ailleurs récemment rappelé que la prise en compte d'une diminution de rendement dans le cadre de l'évaluation médicale de la capacité de travail résiduelle n'empêche pas par ailleurs de procéder à un abattement sur le salaire statistique, dont la fonction est de prendre en compte dans le cadre des perspectives salariales de la personne assurée, les circonstances personnelles et professionnelles du cas particulier. Il a ainsi retenu, outre une diminution de rendement de 20%, qu'un abattement de 15% se justifiait en raison de l'âge de l'assuré (55 ans), de l'absence prolongée du marché du travail et de la nature des limitations fonctionnelles, ces critères pouvant jouer concrètement sur ses perspectives salariales dans le cadre de l'exercice d'une activité simple, légère et ne nécessitant pas de formation particulière (ATF non publié 9C_289/2012 du 15 octobre 2012, consid. 3.3.2 et 3.3.2.2). Enfin, s'il est vrai que les facteurs tels que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 non publié 9C_1043/2008 du 2 juillet 2009, consid. 3.2). 14.    En l'espèce, dans la mesure où l'amélioration de la capacité de gain a eu lieu en octobre 2011, il convient de se placer en 2011 pour procéder à la comparaison des revenus.![endif]&gt;![if&gt; S'agissant du revenu sans invalidité, c'est à juste titre que l'intimé a retenu, sur la base des renseignements fournis les 28 juillet et 13 août 2009 par les deux employeurs, que la recourante aurait pu réaliser en 2008, sans atteinte à la santé, un salaire annuel brut de 46'316 fr. (42'806 fr. + 3'510 fr.), montant que la recourante ne conteste au demeurant pas. Indexé en 2011 selon l’évolution des salaires pour les femmes en termes nominaux, le salaire annuel sans invalidité en 2011 s'élève à 48'262 fr. (46'316 fr. x 2604 / 2499; La Vie économique, 9-2012, p. 95, B 10.3). S’agissant du salaire avec invalidité, la recourante n’ayant pas repris d’activité lucrative, c’est à juste titre que l’intimé s’est référé aux ESS. En l’espèce, le salaire de référence est celui auquel peuvent prétendre les femmes effectuant des activités simples et répétitives (niveau de qualification 4) dans le secteur privé, à savoir 50'700 fr. par année (4'225 x 12; ESS 2010, TA1). Au regard du large éventail d’activités simples et répétitives que recouvrent les secteurs de la production et des services, on doit en effet convenir qu’un certain nombre d’entre elles sont légères et adaptées aux handicaps de la recourante. Comme les salaires bruts standardisés tiennent compte d’un horaire de travail de 40 heures, soit une durée hebdomadaire inférieure à la moyenne usuelle dans les entreprises en 2011 (41,7 heures ; La Vie économique, 9-2012, p. 94, B 9.2), ce montant doit être porté à 52'854 fr. (50'700 x 41.7 : 40) et à 53'382 fr. indexé à 2011 selon l’évolution des salaires en termes nominaux (1%; La Vie économique, 9-2012, p. 95, B 10.2), soit 40'037 fr. compte tenu de la baisse de rendement de 25% (53'382 – 13'345). A ce montant, il convient encore, conformément à la jurisprudence, d'appliquer un facteur de réduction sur le salaire statistique. A cet égard, la Cour de céans constate que l'intimé a omis de citer, dans sa décision litigieuse, les critères permettant une réduction. Il n'a par ailleurs effectué aucun abattement, en se contentant d'indiquer qu'aucun des critères n'était rempli. Or, si la jurisprudence retient que le taux d'abattement doit être dûment motivé, a fortiori cela s'applique-t-il lorsque l'administration renonce à y procéder. Dans la mesure où l'intimé ne s'est pas prononcé de manière circonstanciée sur la question, la Cour de céans peut procéder à sa propre appréciation de la situation. Il convient dès lors d'examiner, dans le cas concret, quel taux de réduction doit être appliqué, étant rappelé que conformément à la jurisprudence précitée et contrairement à l'avis de l'intimé du 22 décembre 2011, la prise en compte d'une diminution de rendement n'empêche pas par ailleurs de procéder à un abattement sur le salaire statistique. S'agissant de la situation personnelle et professionnelle de la recourante, la Cour de céans constate que cette dernière, de nationalité portugaise, en Suisse depuis plus de dix ans, est non seulement au bénéfice d'un permis d'établissement mais également en mesure d'exercer une activité adaptée à temps plein. Elle travaillait depuis peu auprès de ses deux employeurs lors de la survenance de l'accident. Toutefois, la recourante était âgée de 60 ans au moment de la décision litigieuse et elle présentait des limitations fonctionnelles spécifiques et particulières qu'il convient de prendre en compte, contrairement à l'avis de l'intimé. En effet, celles-ci touchent non seulement les poignets, mais aussi les mains et les doigts, des deux côtés, et excluent les gestes répétitifs. La préhension est douloureuse et limitée, tant avec la main droite qu'avec la main gauche. Les mouvements de flexion-extension des deux poignets sont réduits et la dextérité fine des deux mains est partiellement perdue. Hormis les deux critères précités, aucune autre circonstance n'entre en considération, étant précisé que la recourante ne saurait se prévaloir de son manque de formation professionnelle et de sa maîtrise imparfaite de la langue française, dès lors que de tels facteurs ne constituent pas des éléments dont l'assurance-invalidité doit répondre. L'intimé fait valoir que l'âge de la recourante est éloigné du seuil à partir duquel la jurisprudence parle d'un âge avancé, de sorte qu'il ne justifierait pas un abattement du salaire statistique. C'est cependant à tort que l'intimé se réfère à ce seuil, lequel est uniquement applicable lorsqu'il s'agit d'examiner s'il existe des possibilités réalistes de mise en valeur de la capacité résiduelle de travail sur un marché du travail supposé équilibré pour un assuré qui se trouve proche de l'âge ouvrant le droit à la rente de vieillesse - (voir les ATF non publiés 9C_918/2008 du 28 mai 2009 consid. 4.2.2, 9C_437/2008 du 19 mars 2009 consid. 4 et I 819/04 du 27 mai 2005 consid. 2.2). Or, tel n'est pas le cas de la recourante puisque celle-ci était âgée de 60 ans. Il s'ensuit que les critères de l'âge et des limitations fonctionnelles doivent être considérés comme remplis car ils diminuent de manière déterminante les perspectives salariales de la recourante, de sorte qu'une déduction de 15% apparaît justifiée. Compte tenu donc de l'abattement de 15%, le revenu d'invalide sur la base statistique s'élève à 34'032 fr. (40'037 – 6'005), qui, une fois comparé avec le revenu sans invalidité de 48'262 fr., donne un taux d'invalidité de 29% (48'262 – 34'032/48'262 x 100), soit un taux ne donnant pas droit à une rente. On ajoutera encore que même en retenant l'abattement maximum de 25% sur le salaire statistique, le salaire avec invalidité s'élèverait à 30'028 fr. (40'037 – 10'009), la recourante n'aurait tout de même pas droit à une rente, vu le degré d'invalidité de 38% obtenu (48'262 - 30'028/48'262 x 100), insuffisant pour l'octroi d'une rente. Il s'ensuit que c'est à juste titre que l'intimé a supprimé le droit à une rente dès le 1 er février 2012, soit trois mois après l’amélioration de la capacité de gain de la recourante en octobre 2011 (art. 88a al. 1 RAI). La décision litigieuse sera par conséquent confirmée en tant qu'elle octroie à la recourante une rente entière limitée du 1 er décembre 2009 au 31 janvier 2012. 15.    Reste encore à analyser le droit à des mesures de réadaptation professionnelle.![endif]&gt;![if&gt;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On rappellera encore qu'il n'existe pas un droit inconditionnel à obtenir une mesure professionnelle (voir par ex. l'ATF non publié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16.    En l'occurrence, la décision litigieuse se contente de mentionner que des mesures professionnelles ne sont pas indiquées et que l'intimé, sur demande écrite et motivée de la recourante, pourra examiner le droit à une aide au placement. Par ailleurs, force est de constater que dans le cadre de l'instruction du dossier, et suite à l'expertise rendue par le Dr T__________, la recourante n'a jamais été reçue par le service de réadaptation de l'intimé, alors que des mesures de réadaptation étaient pourtant envisageables de suite (rapport du Dr T__________ du 18 octobre 2011).![endif]&gt;![if&gt; Ainsi, attendu que l'instruction du dossier n'a pas porté sur la question d'une mesure de réadaptation, il y a lieu de renvoyer la cause à l'intimé pour qu'il instruise les conditions objectives et subjectives d'une telle mesure et qu'il rende une nouvelle décision. La décision litigieuse sera par conséquent annulée en tant qu'elle nie le droit de la recourante à des mesures professionnelles. 17.    Le recours sera donc admis partiellement et la décision litigieuse annulée en tant qu'elle refuse le droit à des mesures professionnelles, la cause étant renvoyée pour instruction sur ce point et nouvelle décision. La décision litigieuse sera par ailleurs confirmée en tant qu'elle octroie à la recourante une rente entière du 1 er décembre 2009 au 31 janvier 2012.![endif]&gt;![if&gt; 18.    La recourante, représentée par un conseil et obtenant partiellement gain de cause, une indemnité de 1'500 fr. lui est accordée à titre de dépens [art. 61 let. g LPGA et 89H al. 3 de la loi sur la procédure administrative du 12 septembre 1985 (LPA-GE   -   E 5 10)]. La procédure de recours en matière de contestations portant sur l'octroi ou le refus de prestations de l'assurance-invalidité étant soumise à des frais de justice (art. 69 al. 1bis LAI), un émolument de 500 fr. sera mis à la charge de l'intimé.![endif]&gt;![if&gt;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