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A/1475/2024 vom 19. September 2024</w:t>
      </w:r>
    </w:p>
    <w:p>
      <w:r>
        <w:t>GE Cour de justice, 2024-09-19, FR</w:t>
      </w:r>
    </w:p>
    <w:p>
      <w:r>
        <w:rPr>
          <w:b/>
        </w:rPr>
        <w:t xml:space="preserve">Quelle: </w:t>
      </w:r>
      <w:r>
        <w:t>https://mcp.opencaselaw.ch/entscheid/ge_gerichte_A_1475_2024</w:t>
      </w:r>
    </w:p>
    <w:p>
      <w:r>
        <w:t>FR: GE_GERICHTE A/1475/2024 du 19 septembre 2024</w:t>
      </w:r>
    </w:p>
    <w:p>
      <w:r>
        <w:t>IT: GE_GERICHTE A/1475/2024 del 19 settembre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recours, interjeté dans les forme et délai prévus par la loi (art. 56ss LPGA), est recevable.</w:t>
      </w:r>
    </w:p>
    <w:p>
      <w:r>
        <w:rPr>
          <w:b/>
        </w:rPr>
        <w:t>E. 2</w:t>
      </w:r>
    </w:p>
    <w:p>
      <w:r>
        <w:t>Le litige porte sur le droit à la rente et l’indemnité pour atteinte à l'intégrité en lien avec les suites de l’accident du 6 juin 2019 ayant atteint la cheville et le poignet du recourant. Les troubles résultant de l’accident du 19 novembre 2019, d’ordre ophtalmologique, ont fait l’objet d’une décision séparée, laquelle a donné lieu à une procédure devant la chambre de céans, qui s’est conclue par l’arrêt ATAS/347/2024 du 16 mai 2024. Dans cet arrêt, la chambre de céans a nié la valeur probante de l’appréciation du médecin d’arrondissement de l’intimée niant un lien de causalité entre cet accident et les troubles du recourant, et a renvoyé la cause à celle-ci pour mise en œuvre d’une expertise puis nouvelle décision. Les troubles de la sphère oculaire ne font ainsi pas partie du présent litige et n’ont pas à être pris en compte dans l’examen du bien-fondé de la décision litigieuse. Il sied ici d’examiner le moyen invoqué par le recourant, qui soutient que l’ensemble des troubles causés selon lui par les différents accidents annoncés à l’intimée aurait dû faire l’objet d’une appréciation globale et d’une seule et même décision. L'assurance-accidents statuant sur opposition est tenue de prendre en considération tous les faits pertinents survenus jusqu'au moment de la décision sur opposition (RAMA 1/2/2001 n° U 419 p. 101 consid. 2c). Toutefois, le Tribunal fédéral des assurances admet, dans certaines circonstances, que les conséquences de plusieurs accidents successifs soient constatées dans des décisions séparées (arrêt du Tribunal fédéral U 391/01 du 17 décembre 2002 consid. 4.2 et les références citées). Ainsi, le rapport juridique sur lequel l’assurance-accidents se prononce peut être limité aux prestations dues en raison d'un accident en particulier, quand bien même plusieurs autres événements accidentels se seraient produits avant la décision sur opposition. Cette manière de procéder peut, certes, nuire à l'établissement des faits dans certains cas, mais elle peut aussi contribuer au traitement de l'opposition dans un délai approprié.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 16/07 du 9 mai 2007 consid. 3.2). Ainsi, le procédé pour lequel a opté l’intimée, consistant à trancher dans des décisions distinctes le droit aux prestations résultant des accidents respectivement survenus le 6 juin puis le 19 novembre 2019, ne viole pas le droit. En particulier, dans le cas d’espèce, dès lors que les atteintes annoncées portent sur des parties différentes du corps, une appréciation globale de l’état de santé – même si elle peut paraître préférable – ne s’imposait pas de manière évidente, comme cela pourrait être le cas par exemple lorsqu’un nouveau sinistre aggrave une pathologie causée par un précédent accident.</w:t>
      </w:r>
    </w:p>
    <w:p>
      <w:r>
        <w:rPr>
          <w:b/>
        </w:rPr>
        <w:t>E. 3</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3.1</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 cf .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3.2</w:t>
      </w:r>
    </w:p>
    <w:p>
      <w:r>
        <w:t>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 ème éd. 2016, n. 317 ; arrêt du Tribunal fédéral 8C_442/2013 du 4 juillet 2014 consid. 2).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l’atteinte à l'intégrité est fixée d'après l'ensemble du dommage (al. 3 1 ère phr.).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8C_219/2018 du 5 juillet 2018 consid. 4.2).</w:t>
      </w:r>
    </w:p>
    <w:p>
      <w:r>
        <w:rPr>
          <w:b/>
        </w:rPr>
        <w:t>E. 4</w:t>
      </w:r>
    </w:p>
    <w:p>
      <w:r>
        <w:t>Le droit à des prestations d'assurance suppose entre l'événement dommageable de caractère accidentel et l'atteinte à la santé, un lien de causalité naturelle mais aussi adéquate (arrêt du Tribunal fédéral 8C_628/2007 du 22 octobre 2008 consid.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4.1</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w:t>
      </w:r>
    </w:p>
    <w:p>
      <w:r>
        <w:rPr>
          <w:b/>
        </w:rPr>
        <w:t>E. 4.2</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 accidents de gravité moyenne et les accidents graves. Le degré de gravité d'un accident s'apprécie d'un point de vue objectif, en fonction de son déroulement ; il ne faut pas s'attacher à la manière dont la victime a ressenti et assumé le choc traumatique. Sont déterminantes les forces générées par l'accident et non pas les conséquences qui en résultent (arrêt du Tribunal fédéral 8C_816/2012 du 4 septembre 2013 consid. 7.2 et les références). Selon la jurisprudence,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 À titre d’exemple, une glissade lors de laquelle une assurée a heurté son genou contre une poignée de porte a été qualifiée d’accident de peu de gravité (arrêt du Tribunal fédéral 8C_140/2021 du 3 août 2021).</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w:t>
      </w:r>
    </w:p>
    <w:p>
      <w:r>
        <w:rPr>
          <w:b/>
        </w:rPr>
        <w:t>E. 5.2</w:t>
      </w:r>
    </w:p>
    <w:p>
      <w:r>
        <w:t>Pour déterminer le revenu d'invalide de l'assuré, il y a lieu en l'absence d'un revenu effectivement réalisé de se référer aux données salariales, telles qu'elles résultent des ESS publiées par l'Office fédéral de la statistique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5.3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En l’espèce, la chambre de céans rappelle en préambule que l’appréciation de la capacité de gain du recourant par l’OAIE ne lie pas l’intimée. Certes, la notion d'invalidité définie à l'art. 8 LPGA est en principe identique dans l'assurance-accidents, l'assurance militaire et l'assurance-invalidité (ATF 126 V 288 consid. 2d). Il n'en demeure pas moins que l'évaluation de l'invalidité par l'assurance-invalidité n'a pas de force contraignante pour l'assureur-accidents (ATF 131 V 362 consid. 2.3) et inversement (ATF 133 V 549 consid. 6).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consid. 4.3.1). En l’espèce, l’assurance-invalidité a tenu compte d’atteintes dont l’intimée ne répond pas. S’agissant en particulier des troubles psychiques, la chambre de céans rappellera que selon la déclaration d’accident de l’employeur, le recourant s’est coincé le pied en marchant et s’est cassé le pouce et tordu la cheville en tombant. Le recourant a précisé au Dr E______ en novembre 2021 qu’il était tombé lorsque son pied s’était coincé dans du carrelage, et qu’il s'était alors rattrapé sur le poignet gauche et s’était tordu la cheville. Force est ainsi de constater qu’il s’agit d’un accident peu grave, indépendamment des conséquences qu’il a entraînées, ce qui exclut déjà d’admettre un lien de causalité adéquate entre l’accident du 6 juin 2019 et d’éventuels troubles psychiques invalidants. Quant aux troubles au membre supérieur droit, il n’est pas démontré que leur apparition – plusieurs mois après l’accident – a été causée par cet événement, et l’avis isolé et peu motivé de la Dre D______ sur ce point n’y suffit pas. Leur incidence sur la capacité de travail et de gain du recourant n’est du reste pas établie.</w:t>
      </w:r>
    </w:p>
    <w:p>
      <w:r>
        <w:rPr>
          <w:b/>
        </w:rPr>
        <w:t>E. 7.1</w:t>
      </w:r>
    </w:p>
    <w:p>
      <w:r>
        <w:t>On relève en outre que c’est à juste titre que l’intimée a considéré que l’état de santé du recourant était stabilisé au 31 décembre 2023. S’agissant de l’atteinte au poignet, le Dr B______ ne proposait plus de traitement en octobre 2021 déjà. Les médecins des HUG ne retenaient pas non plus d’indication chirurgicale en décembre 2021, pas plus qu’à une infiltration au vu des effets limités de ce geste par le passé. Le Prof. I______ n’a pas non plus formulé de plan thérapeutique. En ce qui concerne la cheville, les médecins des HUG ont préconisé un traitement uniquement conservateur en octobre 2022. Certes, une infiltration a été réalisée en juin 2023. Celle-ci avait cependant uniquement un but antalgique, et l’administration d’un tel traitement ne suffit pas à exclure la stabilisation de l’état de santé d’un assuré, conformément à la jurisprudence. Contrairement à ce que le recourant soutient, la possibilité de procéder à de tels traitements dans le futur – qui paraît du reste purement théorique, puisqu’ils ne sont pour l’heure pas programmés – n’est ainsi pas déterminante. Par ailleurs, s’agissant de la mise en place d’une prothèse de la cheville, elle n’est pour l’instant pas indiquée au vu du jeune âge du recourant. Compte tenu de ces éléments, l’intimée était fondée à mettre un terme aux indemnités journalières au 31 décembre 2023 en considérant l’état de santé stabilisé à cette date.</w:t>
      </w:r>
    </w:p>
    <w:p>
      <w:r>
        <w:rPr>
          <w:b/>
        </w:rPr>
        <w:t>E. 7.2</w:t>
      </w:r>
    </w:p>
    <w:p>
      <w:r>
        <w:t>S’agissant de la capacité de gain du recourant, le Dr E______ l’a estimée complète dans une activité adaptée. L’appréciation de ce médecin repose sur une pleine connaissance du dossier et des documents radiologiques, et a été établie à l’issue d’un examen clinique lors duquel il a interrogé le recourant sur ses plaintes. Tant ses diagnostics que ses conclusions sont clairs, et ce médecin a tenu compte des limitations fonctionnelles induites par les atteintes du recourant. Son rapport satisfait ainsi tous les réquisits jurisprudentiels pour se voir reconnaître pleine valeur probante. Il est exempt de lacune ou contradiction qui mettrait en cause sa pertinence. Enfin, il n’existe aucun rapport d’un autre médecin qui susciterait des doutes sur les conclusions du Dr E______. On soulignera ici que l’intimée s’est attachée à obtenir des avis de spécialistes externes, et qu’elle a notamment encouragé le recourant à consulter le Prof. I______. Or, aucun de ces spécialistes n’a formellement exclu la reprise d’une activité adaptée. Le Dr B______ ne s’est pas exprimé à ce propos, pas plus que la Dre G______ et le Prof. I______. La Dre H______ a souligné la nécessité d’une reconversion en juin 2021, ce qui implique une capacité de travail dans une activité adaptée. Le Dr J______, que le recourant a consulté de sa propre initiative, a également admis la possibilité de la reprise d’une activité adaptée. La Dre A______ a également implicitement admis l’exigibilité d’une activité adaptée, et il convient de souligner que les limitations fonctionnelles déterminées par le Dr E______ englobent celles que cette généraliste a décrites. Seule la Dre K______ a exclu – dans un rapport dont la motivation est au demeurant succincte – la reprise d’une activité adaptée, en tenant toutefois compte de plusieurs atteintes dont l’intimée ne répond pas, si bien que son avis isolé ne suffit pas à écarter l’appréciation du Dr E______ sur l’existence d’une pleine capacité de travail sans diminution de rendement dans une activité adaptée. La chambre de céans n’a ainsi aucun motif de s’écarter de cette conclusion.</w:t>
      </w:r>
    </w:p>
    <w:p>
      <w:r>
        <w:rPr>
          <w:b/>
        </w:rPr>
        <w:t>E. 7.3</w:t>
      </w:r>
    </w:p>
    <w:p>
      <w:r>
        <w:t>En ce qui concerne le calcul du degré d’invalidité, que le recourant ne critique du reste pas en tant que tel, l’intimée a déterminé le revenu sans invalidité en fonction des salaires communiqués par l’employeur, ce qui est conforme aux principes rappelés ci-dessus. Dans son courriel du 9 janvier 2023, l’employeur a indiqué un revenu de CHF 30.06 de l’heure en 2022, pour 40 heures par semaine, 13 ème salaire non inclus, ce qui correspond à un revenu annuel de CHF 67'733.10, et de CHF 68'884.60 compte tenu de l’indexation de 1.7% en 2023 selon l’indice suisse des salaires. Le recours au revenu statistique tiré d’activités simples et répétitives pour fixer le revenu après invalidité échappe également à la critique. En particulier, même s’il y avait lieu d’admettre que le recourant n’est pas du tout en mesure d’utiliser son membre supérieur gauche – ce qui n’est pas établi – la jurisprudence admet la pertinence de ce revenu statistique dans le cas d'activités monomanuelles légères (arrêts du Tribunal fédéral 9C_633/2016 du 28 décembre 2016 consid. 4.3 et 8C_670/2015 du 12 février 2016 consid. 4.3), et l'exercice d'une activité non qualifiée exclusivement monomanuelle n’est pas considéré comme irréaliste sur un marché équilibré du travail ( cf . arrêts du Tribunal fédéral 9C_633/2016 du 28 décembre 2016 consid. 4.3 et 8C_670/2015 du 12 février 2016 consid. 4.3). L’abattement de 5% consenti par l’intimée se situe dans la fourchette basse, mais il reste dans les limites de son pouvoir d’appréciation au vu des seules limitations fonctionnelles entrant en considération à titre de critère de réduction. Le revenu après invalidité du tableau TA1_tirage_ skill_level de l’ESS 2020 s’élève à CHF 5'261.- par mois et CHF 63'132.- par an. Indexé jusqu’en 2023, il est de CHF 64'457.12, et de CHF 67'196.55 une fois adapté à la durée normale de travail de 41.7 heures cette année. L’abattement de 5% le réduit à CHF 63'836.72, de sorte que l’invalidité résultant de la comparaison des revenus est de 7.33%, ce qui n’atteint pas le seuil ouvrant le droit à une rente.</w:t>
      </w:r>
    </w:p>
    <w:p>
      <w:r>
        <w:rPr>
          <w:b/>
        </w:rPr>
        <w:t>E. 7.4</w:t>
      </w:r>
    </w:p>
    <w:p>
      <w:r>
        <w:t>Le recourant s’en prend enfin au taux de l’indemnité pour atteinte à l'intégrité. Ce faisant, il n’amène aucun élément médical concret mettant en doute l’appréciation du Dr E______, qu’il critique en termes tous généraux, sans motiver le taux de 50% qu’il conviendrait selon lui de retenir. La détermination de l’indemnité pour atteinte à l'intégrité étant une question médicale, la chambre de céans ne dispose d’aucun élément de cet ordre qui justifierait de s’écarter de l’évaluation du médecin d’arrondissement de l’intimée dans le cas d’espèce. Comme on l’a vu, les éventuelles pathologies oculaires n’ont pas à être prises en compte dans la présente procédure, mais elles seront analysées dans la décision que l’intimée rendra sur ce point à la suite de l’arrêt de renvoi du 16 mai 2024. Au vu des éléments qui précèdent, la décision de l’intimée ne peut être que confirmée.</w:t>
      </w:r>
    </w:p>
    <w:p>
      <w:r>
        <w:rPr>
          <w:b/>
        </w:rPr>
        <w:t>E. 8.1</w:t>
      </w:r>
    </w:p>
    <w:p>
      <w:r>
        <w:t>Le recours est rejeté.</w:t>
      </w:r>
    </w:p>
    <w:p>
      <w:r>
        <w:rPr>
          <w:b/>
        </w:rPr>
        <w:t>E. 8.2</w:t>
      </w:r>
    </w:p>
    <w:p>
      <w:r>
        <w:t>Pour le surplus, la procédure est gratuite (art. 61 let. f bis LGPA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