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A/1475/2001 vom 17. August 2006</w:t>
      </w:r>
    </w:p>
    <w:p>
      <w:r>
        <w:t>GE Cour de justice, 2006-08-17, FR</w:t>
      </w:r>
    </w:p>
    <w:p>
      <w:r>
        <w:rPr>
          <w:b/>
        </w:rPr>
        <w:t xml:space="preserve">Quelle: </w:t>
      </w:r>
      <w:r>
        <w:t>https://mcp.opencaselaw.ch/entscheid/ge_gerichte_A_1475_2001</w:t>
      </w:r>
    </w:p>
    <w:p>
      <w:r>
        <w:t>FR: GE_GERICHTE A/1475/2001 du 17 août 2006</w:t>
      </w:r>
    </w:p>
    <w:p>
      <w:r>
        <w:t>IT: GE_GERICHTE A/1475/2001 del 17 agosto 2006</w:t>
      </w:r>
    </w:p>
    <w:p>
      <w:pPr>
        <w:pStyle w:val="Heading2"/>
      </w:pPr>
      <w:r>
        <w:t>Erwägungen</w:t>
      </w:r>
    </w:p>
    <w:p>
      <w:r>
        <w:rPr>
          <w:b/>
        </w:rPr>
        <w:t>E. 3</w:t>
      </w:r>
    </w:p>
    <w:p>
      <w:r>
        <w:t>En date du 7 septembre 1998, SSP SA a conclu avec LA POSTE SUISSE un important contrat dans le cadre d’un projet de développement en commun d’une flotte de véhicules électriques baptisés CityCar, portant sur la fourniture et la maintenance de 30 véhicules, pour un prix de Fr. 1 million, échelonné sur une période estimée à environ 6 mois. Un litige est survenu entre SSP SA et LA POSTE SUISSE concernant notamment le règlement du solde du prix en Fr. 100'000.-- dont cette dernière ne s’est pas acquittée. De nombreux échanges de correspondance et une tentative de médiation sous l’égide de l’Office fédéral de l’énergie, depuis le mois de juin 1999, n’ont pas permis de résoudre ce différend. SSP SA a par la suite élevé des prétentions complémentaires à l’égard de LA POSTE SUISSE à hauteur de Fr. 160'000.-- en relation avec un surcoût de production qu’elle estimait devoir lui être remboursé.</w:t>
      </w:r>
    </w:p>
    <w:p>
      <w:r>
        <w:rPr>
          <w:b/>
        </w:rPr>
        <w:t>E. 4</w:t>
      </w:r>
    </w:p>
    <w:p>
      <w:r>
        <w:t>Selon l’article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l’article 52 al. 1 LAVS en vigueur depuis le 1 er janvier 2003 reprend l’ancien article 52 LAVS quasiment sans modification. Les termes "caisse de compensation" sont remplacés par "assurance" (en allemand : remplacement de "Ausgleichkasse" par "Versicherung" ; en italien : suppression de "cassa di compensazione" ), sans que cela entraîne un changement quant aux conditions de la responsabilité de l’employeur (ATF 129 V 13 sv. consid. 3.5).</w:t>
      </w:r>
    </w:p>
    <w:p>
      <w:r>
        <w:rPr>
          <w:b/>
        </w:rPr>
        <w:t>E. 5</w:t>
      </w:r>
    </w:p>
    <w:p>
      <w:r>
        <w:t>L’ancien article 82 RAVS, qui régissait les effets du temps sur une créance en réparation du dommage, a été abrogé à la suite de l’entrée en vigueur de la LPGA, le 1 er janvier 2003. La question est désormais réglée par l’article 52 al. 3 LAVS. Les défendeurs excipent de la prescription en invoquant l’article 52 al. 3 LAVS dans sa nouvelle teneur. Ils exposent que le délai de prescription aurait été interrompu pour la dernière fois au mois d’août 2001, lorsque la Commission cantonale de recours AVS-AI-APG-RCF-PCC-RMCAS-AMat alors compétente les a invité à répondre à la demande de mainlevée de l’opposition formée par la CCGC. Ensuite, selon les défendeurs, aucun acte interruptif de prescription n’aurait eu lieu jusqu’à la convocation qui leur a été adressée par le Tribunal de céans le 30 septembre 2004. Les prétentions de la CCGC seraient donc prescrites dans l’intervalle.</w:t>
      </w:r>
    </w:p>
    <w:p>
      <w:r>
        <w:rPr>
          <w:b/>
        </w:rPr>
        <w:t>E. 6</w:t>
      </w:r>
    </w:p>
    <w:p>
      <w:r>
        <w:t>Selon l’ancien article 82 al. 1 RAVS,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Il s’agit de délais de péremption, en ce sens que la caisse de compensation est déchue du droit d’exiger la réparation du dommage si elle n’a pas agi dans les délais requis (ATF 128 V 12 consid. 5a, 17 consid. 2a, 126 V 451 consid. 2a, 121 III 388 consid. 3b et les références ; cf. également Andrea Braconi, Prescription et péremption dans l’assurance sociale, in : Droit privé et assurances sociales, Fribourg 1990, p. 223 et 227 ss).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(RCC 1991 p. 136 consid. 2c ; arrêt non publié B. du 8 janvier 1990 [H 102/88] consid. 2c).</w:t>
      </w:r>
    </w:p>
    <w:p>
      <w:r>
        <w:rPr>
          <w:b/>
        </w:rPr>
        <w:t>E. 7</w:t>
      </w:r>
    </w:p>
    <w:p>
      <w:r>
        <w:t>L’article 52 al. 3 LAVS, dans sa teneur en vigueur depuis le 1 er janvier 2003, prévoit que le droit à réparation est prescrit (« verjährt » ; « si prescrive »)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(FF 1994 V p. 964 sv., 1999 p. 4422).</w:t>
      </w:r>
    </w:p>
    <w:p>
      <w:r>
        <w:rPr>
          <w:b/>
        </w:rPr>
        <w:t>E. 8</w:t>
      </w:r>
    </w:p>
    <w:p>
      <w:r>
        <w:t>La LPGA ne prévoit pas de disposition transitoire relative aux délais de péremption et de prescription prévus par l’ancien art. 82 RAVS et l’article 52 al. 3 LAVS. En l’absence d’une telle disposition, on pourrait considérer comme un état de fait durable la créance en réparation du dommage soumise à prescription ou péremption, et lui appliquer la nouvelle réglementation dès son entrée en vigueur (cf. ATF 107 1b 203 sv. consid. 7b, 102 V 207 sv. consid. 2 ; RDAF 1998 II p. 189 sv. consid. 7a ; RDAT 1995 I n. 46 p. 115 sv. consid. 3). La péremption ou la prescription sont cependant des institutions de droit matériel qui concernent directement l’existence de la créance en réparation du dommage, à laquelle elles sont donc étroitement liées. Ce lien de connexité pourrait justifier de soumettre la naissance de la créance en réparation du dommage et sa péremption ou prescription à un seul et même régime de droit transitoire, ce qui conduirait en l’occurrence à l’application de l’ancien article 82 RAVS exclusivement (ATF H96/03 du 30 novembre 2004 c. 9.2.1).</w:t>
      </w:r>
    </w:p>
    <w:p>
      <w:r>
        <w:rPr>
          <w:b/>
        </w:rPr>
        <w:t>E. 9</w:t>
      </w:r>
    </w:p>
    <w:p>
      <w:r>
        <w:t>Il n’y a pas lieu de trancher cette question dans le cadre de la présente procédure. De même n’est-il pas nécessaire d’examiner si, comme le soutiennent les défendeurs, une créance en réparation du dommage est susceptible de prescription au sens de l’article 52 al. 3 LAVS alors même qu’elle fait l’objet d’une procédure judiciaire en cours. En effet, le délai de deux ans prévus par une disposition ne commencerait à courir, le cas échéant, qu’à partir de l’entrée en vigueur de la nouvelle réglementation, le 1 er janvier 2003, et pour autant que la créance ne soit pas déjà périmée à cette date conformément à l’ancien article 82 al. 1 RAVS (ATF 107 1b 203 sv. consid. 7b, 102 V 207 sv. consid. 2 ; RDAF 1998 II p. 189 sv. consid. 7a, RDAT 1995 I n. 46 p. 115 sv. consid. 3). Or, les prétentions de la CCGC ne seraient en tous les cas pas prescrites dès lors qu’il s’est écoulé moins de deux ans entre le 1 er janvier 2003, date de l’entrée en vigueur de la LPGA, et la date à laquelle les défendeurs eux-mêmes admettent que la prescription aurait, en toutes hypothèses, été valablement interrompue, le 30 septembre 2004, lorsque le Tribunal de céans leur a adressé une convocation, ce qui constitue un acte de procédure interruptif de prescription.</w:t>
      </w:r>
    </w:p>
    <w:p>
      <w:r>
        <w:rPr>
          <w:b/>
        </w:rPr>
        <w:t>E. 10</w:t>
      </w:r>
    </w:p>
    <w:p>
      <w:r>
        <w:t>Le dommage au sens de l’ancien article 52 LAVS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5 ans de l’ancien article 82 al. 1 in fine RAVS (ATF 129 V 195 consid. 2.2, 123 V 16 consid. 5c). En ce qui concerne le moment de la connaissance du dommage en cas de faillite, en revanche, la jurisprudence retient généralement celui du dépôt de l’état de collocation, ou celui de la publication de la liquidation de la faillite faute d’actifs (ATF 129 V sv. consid. 2.3).</w:t>
      </w:r>
    </w:p>
    <w:p>
      <w:r>
        <w:rPr>
          <w:b/>
        </w:rPr>
        <w:t>E. 11</w:t>
      </w:r>
    </w:p>
    <w:p>
      <w:r>
        <w:t>En l’espèce la faillite a été prononcée le 27 mars 2000 et l’état de collocation déposé le 6 septembre 2000. C’est à ce moment-là que la demanderesse a su qu’elle subirait un dommage. Force est dès lors de constater que par ses décisions en réparation du dommage notifiées le 23 mai 2001, la Caisse a respecté le délai de péremption d’un an dès la connaissance du dommage prévu à l’article 82 al. 1 RAVS (RCC 1990, p. 302). Le délai de cinq ans dès la survenance du dommage est également à l’évidence sauvegardé.</w:t>
      </w:r>
    </w:p>
    <w:p>
      <w:r>
        <w:rPr>
          <w:b/>
        </w:rPr>
        <w:t>E. 12</w:t>
      </w:r>
    </w:p>
    <w:p>
      <w:r>
        <w:t>P S__________ et P S1__________ ont formé opposition les 19 et 22 juin 2001, soit en temps utile (article 81 al. 2 RAVS). En revanche, l’opposition formée par A M__________ le 27 juin 2001, alors qu’il avait reçu la décision de la Caisse le 25 mai 2001, est tardive et, par conséquent irrecevable. A noter que la tardiveté de l’opposition n’a jamais été contestée par M__________, lequel a indiqué dans son opposition que ce retard était dû à un "un mois de juin très occupé" , ce qui ne saurait constituer un empêchement valable au sens de la loi.</w:t>
      </w:r>
    </w:p>
    <w:p>
      <w:r>
        <w:rPr>
          <w:b/>
        </w:rPr>
        <w:t>E. 13</w:t>
      </w:r>
    </w:p>
    <w:p>
      <w:r>
        <w:t>La Caisse a déposé sa requête en mainlevée de l’opposition auprès de la Commission cantonale de recours AVS-AI-APG-RCF-PCC-RMCAS-AMat, compétente en la matière jusqu’au 31 juillet 2003, le 20 juillet 2001 soit dans le délai de 30 jours, de sorte que celle-ci est recevable à la forme (article 81 al. 3 RAVS).</w:t>
      </w:r>
    </w:p>
    <w:p>
      <w:r>
        <w:rPr>
          <w:b/>
        </w:rPr>
        <w:t>E. 14</w:t>
      </w:r>
    </w:p>
    <w:p>
      <w:r>
        <w:t>Selon l’article 52 LAVS, l’employeur qui intentionnellement ou par négligence grave n’observe pas des prescriptions et cause ainsi un dommage à la caisse de compensation est tenu à réparation. Le montant du dommage correspond à la perte subie par la caisse. Appartiennent à ce montant les cotisations paritaires (cotisations patronales et d’employés ou ouvriers) dues par l’employeur, les contributions, frais d’administration, les intérêts moratoires, les taxes de sommation et les frais de poursuite (Directives sur la perception des cotisations N° 6010). En l’espèce, le dommage subi par la Caisse consiste en la perte de la créance qu’elle possédait contre la société, représentant le complément de cotisations paritaires AVS-AI restées impayées pour un total de FR. 19'558,10. Le Tribunal de céans prend acte à cet égard que le montant n’est pas contesté.</w:t>
      </w:r>
    </w:p>
    <w:p>
      <w:r>
        <w:rPr>
          <w:b/>
        </w:rPr>
        <w:t>E. 15</w:t>
      </w:r>
    </w:p>
    <w:p>
      <w:r>
        <w:t>L'art 14 al. 1 LAVS, en corrélation avec les articles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16</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 En l’occurrence, les défendeurs, tous anciens administrateurs de SSP SA, sont inscrits comme tels au Registre du commerce. Il ont dès lors indiscutablement la qualité d’organes formels de la société anonyme. (cf. Forstmoser, op. cit. N° 654 et 655, p. 2089 ; Guhl, Merz &amp; Kummer, Das schweizerische Obligationenrecht, 7ème édition, p. 691; ATF 86 II 271 et 93 II 22 ).</w:t>
      </w:r>
    </w:p>
    <w:p>
      <w:r>
        <w:rPr>
          <w:b/>
        </w:rPr>
        <w:t>E. 17</w:t>
      </w:r>
    </w:p>
    <w:p>
      <w:r>
        <w:t>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18</w:t>
      </w:r>
    </w:p>
    <w:p>
      <w:r>
        <w:t>Selon la jurisprudence du TFA, un organe n’est toutefois pas réputé avoir commis une négligence grave au sens de l’art. 52 LAVS, lorsqu’un assainissement de la société était encore possible au moment où il a différé le paiement des cotisations pour s’acquitter des salaires ou des factures de fournisseurs.</w:t>
      </w:r>
    </w:p>
    <w:p>
      <w:r>
        <w:rPr>
          <w:b/>
        </w:rPr>
        <w:t>E. 19</w:t>
      </w:r>
    </w:p>
    <w:p>
      <w:r>
        <w:t>En l’espèce, les défendeurs étaient administrateurs de SSP SA depuis sa constitution jusqu’au prononcé de la faillite le 27 mars 2000. Dès l’origine, selon les explications des défendeurs, SSP SA, qui était une "start-up" , a connu des difficultés financières, lesquelles se sont notoirement aggravées au cours des derniers exercices comptables avant la faillite. Durant cette période, les organes de SSP SA ont choisi de privilégier certains créanciers, qualifiés de stratégiques, soit en particulier les fournisseurs, au détriment de la Caisse, de manière à tenter de poursuivre l’activité de la société malgré ses difficultés financières. Les administrateurs recherchés en responsabilité connaissaient ces difficultés financières et le fait que les cotisations sociales n’étaient pas acquittées à temps. Dès le mois de septembre 1995 et jusqu’à fin 1998, différents arrangements de paiement ont été discutés entre les organes de SSP SA et la CCGC, lesquels n’ont pas toujours été scrupuleusement respectés. Cependant, SSP SA a régulièrement versé des montants à la CCGC, si bien que sa situation était quasiment à jour à la fin de l’année 1998. Lors de la faillite de SSP SA, la CCGC a subi un dommage correspondant à l’arriéré dû pour la période du 1 er janvier 1999 au jour de la faillite, étant précisé que SSP SA s’est encore acquittée d’une somme de FR. 17'795,80 en faveur de la CCGC à la veille du dépôt de bilan. Il ne ressort pas du dossier que des arrangements relatifs au paiement de ces cotisations sociales auraient été convenus entre les parties.</w:t>
      </w:r>
    </w:p>
    <w:p>
      <w:r>
        <w:rPr>
          <w:b/>
        </w:rPr>
        <w:t>E. 20</w:t>
      </w:r>
    </w:p>
    <w:p>
      <w:r>
        <w:t>Les défendeurs estiment n’avoir pas fait preuve de grave négligence au sens de l’article 52 LAVS. Ils exposent qu’ils escomptaient pouvoir régler à brève échéance les cotisations dues en encaissant un solde de créance de LA POSTE SUISSE. Ils font valoir, en substance, que l’on ne saurait leur reprocher de n’avoir pas d’emblée déposé le bilan plutôt que de tenter par différents moyens de recouvrer cette créance. Ils indiquent par ailleurs qu’indépendamment du recouvrement de ladite créance, différentes perspectives de marché s’offraient encore à SSP à l’époque. En outre, les organes de SSP SA expliquent avoir pris des mesures d’assainissement, en particulier une réduction drastique du personnel dès le printemps 1999, en réduisant l’activité de la société au strict minimum, de sorte notamment à limiter les cotisations sociales. Enfin, les défendeurs critiquent avec véhémence les organes de la faillite qui, selon eux, auraient colloqué à tort de nombreux créanciers, en particulier LA POSTE SUISSE pour un montant de Fr. 921'000.--, l’état de collocation ne reflétant pas selon eux la situation véritable de la société avant la faillite. En outre, les défendeurs reprochent aux organes de la faillite de n’avoir pas suffisamment valorisé les actifs de la société.</w:t>
      </w:r>
    </w:p>
    <w:p>
      <w:r>
        <w:rPr>
          <w:b/>
        </w:rPr>
        <w:t>E. 21</w:t>
      </w:r>
    </w:p>
    <w:p>
      <w:r>
        <w:t>Il ressort certes des éléments du dossier que les défendeurs n’ont pas fait preuve d’immobilisme face aux difficultés financières chroniques de SSP SA. Des mesures d’assainissement ont été prises de sorte à réduire le dommage causé à la CCGC, par le biais d’une réduction importante du personnel et, partant, de la masse salariale soumise à cotisation. Au demeurant, le Tribunal ne met pas en doute la bonne foi des défendeurs lorsqu’ils affirment avoir eu la conviction, à l’époque, de trouver une issue transactionnelle avec LA POSTE SUISSE permettant à SSP SA de recouvrer le solde de la créance invoquée. Il n’est par ailleurs pas exclu que l’état de collocation de la faillite de SSP ne reflète pas fidèlement l’état du passif avant la faillite, comme le soutiennent les défendeurs. Il n’en demeure pas moins qu’il ressort de manière indiscutable des bilans et comptes de pertes et profits des trois derniers exercices de SSP SA avant la faillite que l’endettement de ladite société s’est accru de manière constante et considérable, pour passer de Fr. 399'513,98 au 31 mars 1997, à Fr. 689'729,04 au 31 mars 1998, puis à Fr. 1'508'980,49 au 31 mars 1999. Le rapport de l’organe de révision pour l’exercice arrêté au 31 mars 1997 mentionnant déjà expressément le risque de surendettement. Cette situation démontre que SSP ne faisait pas face à un manque passager de liquidités, mais à des difficultés beaucoup plus sérieuses nécessitant d’emblée un véritable assainissement. Dans ce contexte, l’encaissement éventuel d’un solde de créance de Fr. 100'000.-- n'apparaît en particulier pas déterminant, au vu de l’importance du surendettement. Les mesures de réduction du personnel entreprises une année avant la faillite, si elles ont certainement permis de réduire le préjudice, apparaissent manifestement insuffisantes et tardives. Dans ces circonstances, poursuivre l’exploitation en laissant s’accroître l’arriéré de cotisations sociales revenait à faire supporter à la CCGC le risque du redressement espéré, mais incertain, et constituait une négligence grave. Que les administrateurs aient été intimement convaincus de leurs chances de réussite et qu’ils aient eux-mêmes subi des pertes n’exclut pas une telle négligence (ATF H. 96/2003 du 30 novembre 2004, c. 9.2).</w:t>
      </w:r>
    </w:p>
    <w:p>
      <w:r>
        <w:rPr>
          <w:b/>
        </w:rPr>
        <w:t>E. 22</w:t>
      </w:r>
    </w:p>
    <w:p>
      <w:r>
        <w:t>Par appréciation anticipée des preuves, il ne sera pas donné suite à la demande des défendeurs d’entendre les organes de la faillite, dès lors qu’au vu des pièces comptables de SSP SA et indépendamment de la manière dont l’Office des faillites a établi l’état de collocation et valorisé les actifs de la faillite, le Tribunal de céans a acquis la conviction qu’une négligence grave doit être reprochée aux défendeurs au sens de l’article 52 LAVS.</w:t>
      </w:r>
    </w:p>
    <w:p>
      <w:r>
        <w:rPr>
          <w:b/>
        </w:rPr>
        <w:t>E. 23</w:t>
      </w:r>
    </w:p>
    <w:p>
      <w:r>
        <w:t>Au vu de ce qui précède, la mainlevée de l’opposition formée par P S__________ et P S1__________ sera accordée. L’opposition formée par A M__________, pour sa part,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