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A/1474/2024 vom 12. Februar 2025</w:t>
      </w:r>
    </w:p>
    <w:p>
      <w:r>
        <w:t>GE Cour de justice, 2025-02-12, FR</w:t>
      </w:r>
    </w:p>
    <w:p>
      <w:r>
        <w:rPr>
          <w:b/>
        </w:rPr>
        <w:t xml:space="preserve">Quelle: </w:t>
      </w:r>
      <w:r>
        <w:t>https://mcp.opencaselaw.ch/entscheid/ge_gerichte_A_1474_2024</w:t>
      </w:r>
    </w:p>
    <w:p>
      <w:r>
        <w:t>FR: GE_GERICHTE A/1474/2024 du 12 février 2025</w:t>
      </w:r>
    </w:p>
    <w:p>
      <w:r>
        <w:t>IT: GE_GERICHTE A/1474/2024 del 12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LPA). En l’occurrence, la décision litigieuse a été notifiée au recourant au plus tôt le 28 mars 2024. Compte tenu de la suspension des délais du 7 ème jour avant Pâques au 7 ème jour après Pâques – soit du 24 mars au 7 avril 2024 –, le délai de recours a été suspendu jusqu’au 7 avril 2024 (art. 38 al. 4 let. a LPGA, applicable par renvoi de l’art. 60 al. 2 LPGA) et a commencé à courir le 8 avril 2024. Posté le 2 mai 2024, le recours a été interjeté en temps utile. Comme celui-ci respecte également les conditions de forme prévues par l’art. 61 let. b LPGA ( cf . art. 89B LPA), il est recevable.</w:t>
      </w:r>
    </w:p>
    <w:p>
      <w:r>
        <w:rPr>
          <w:b/>
        </w:rPr>
        <w:t>E. 2</w:t>
      </w:r>
    </w:p>
    <w:p>
      <w:r>
        <w:t>Le litige porte sur le point de savoir si à la suite de sa demande de révision du 9 décembre 2022, l’assurée peut prétendre à une rente d’invalidité entière.</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3.2</w:t>
      </w:r>
    </w:p>
    <w:p>
      <w:r>
        <w:t>En l’espèce, il n’est pas contesté que le droit à la rente est né antérieurement au 1 er janvier 2022. Toutefois, la question litigieuse est de savoir si un motif de révision est survenu, selon l’art. 88 a RAI, à compter de cette date, de sorte que les dispositions applicables seront citées dans leur nouvelle teneur.</w:t>
      </w:r>
    </w:p>
    <w:p>
      <w:r>
        <w:rPr>
          <w:b/>
        </w:rPr>
        <w:t>E. 4</w:t>
      </w:r>
    </w:p>
    <w:p>
      <w:r>
        <w:t>Pour les bénéficiaires de rente dont le droit à la rente est né avant le 1 er janvier 2022 et qui avaient au moins 55 ans à cette date, l’ancien droit reste applicable ( cf . let. c des dispositions transitoires de la LAI relatives à la modification du 19 juin 2020 (ci-après : dispositions transitoires de la LAI). En revanche, pour les assurés au bénéfice d’une rente avant le 1 er janvier 2022 et qui avaient moins de 55 ans à cette date, un éventuel passage au nouveau système de rentes linéaire s’effectue conformément à la let. b des dispositions transitoires de la LAI. Pour ces assurés, l’ancien système de rente est maintenu jusqu’au moment où, lors d’une révision, le taux d’invalidité subit une modification d’au moins 5 points de pourcentage ( cf . art. 17 al. 1 LPGA) et que cette modification comporte soit une augmentation du taux d’invalidité qui a pour effet une augmentation de la quotité de la rente, soit une diminution du taux d’invalidité qui a pour effet une diminution de la quotité de la rente ( cf .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de révision ; le taux d’invalidité reste inchangé et l’assuré conserve son droit à la rente en l’état, à savoir soumis aux dispositions de l’ancien droit. Tel est également le cas si la modification du taux d’invalidité est supérieure ou égale à cinq points de pourcentage et que l’application du nouveau système conduit soit à une diminution de la quotité de la rente en cas d’augmentation du taux d’invalidité, soit à une augmentation de la quotité de la rente en cas de diminution du taux d’invalidité (OFAS, circulaire relative aux dispositions transitoires concernant le système de rente linéaire valable dès le 1 er janvier 2022 [circ. DT DC AI], ch. 2004 à 2008). En l’occurrence, l’assurée, qui s’est vu octroyer un trois quarts de rente avec effet au 1 er mai 2014, était âgée de 54 ans et 9 mois au 1 er janvier 2022, de sorte qu’une modification du taux d’invalidité de l’assurée, atteignant au moins cinq points de pourcentage, entraîne en principe l’application du nouveau système de rentes linéaire.</w:t>
      </w:r>
    </w:p>
    <w:p>
      <w:r>
        <w:rPr>
          <w:b/>
        </w:rPr>
        <w:t>E. 5.1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peut arriver qu’une modification des fondements juridiques déterminants intervienne après le prononcé de la décision (ATF 135 V 215 consid. 4.1; 127 V 10 consid. 4b).</w:t>
      </w:r>
    </w:p>
    <w:p>
      <w:r>
        <w:rPr>
          <w:b/>
        </w:rPr>
        <w:t>E. 5.2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5.2.1</w:t>
      </w:r>
    </w:p>
    <w:p>
      <w:r>
        <w:t>Tout changement important des circonstances propres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5.2.2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6.3.1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6.3.2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5.2.2 et la référence).</w:t>
      </w:r>
    </w:p>
    <w:p>
      <w:r>
        <w:rPr>
          <w:b/>
        </w:rPr>
        <w:t>E. 6.3.3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6.3.4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143 V 418 consid. 7.1 ; arrêts du Tribunal fédéral 8C_43/2023 du 29 novembre 2023 consid. 5.2 ;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7.1</w:t>
      </w:r>
    </w:p>
    <w:p>
      <w:r>
        <w:t>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7.2</w:t>
      </w:r>
    </w:p>
    <w:p>
      <w:r>
        <w:t>Selon l’art. 27 bis al. 1 RAI, le taux d’invalidité des personnes qui exercent une activité lucrative à temps partiel est déterminé par l’addition des taux suivants: a. le taux d’invalidité en lien avec l’activité lucrative ; b. le taux d’invalidité en lien avec les travaux habituels. Selon l’art. 27 bis al. 2 RAI, le taux d’invalidité en lien avec l’activité lucrative est déterminé : a. en extrapolant le revenu sans invalidité pour une activité lucrative correspondant à un taux d’occupation de 100% ; b. en calculant le revenu avec invalidité sur la base d’une activité lucrative correspondant à un taux d’occupation de 100% et en l’adaptant selon la capacité fonctionnelle déterminante ; c. en pondérant la perte de gain exprimée en pourcentage en fonction du taux d’occupation qu’aurait l’assuré s’il n’était pas invalide. Selon l’art. 27 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7.3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w:t>
      </w:r>
    </w:p>
    <w:p>
      <w:r>
        <w:rPr>
          <w:b/>
        </w:rPr>
        <w:t>E. 7.3.1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7.3.2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 du Tribunal fédéral 9C_625/2017 du 26 mars 2018 consid. 6.2 et arrêt du Tribunal fédéral des assurances I 733/06 du 16 juillet 2007).</w:t>
      </w:r>
    </w:p>
    <w:p>
      <w:r>
        <w:rPr>
          <w:b/>
        </w:rPr>
        <w:t>E. 7.3.3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qui en résultent (arrêt du Tribunal fédéral 9C_657/2021 du 22 novembre 2022 consid. 5.1 et la référence).</w:t>
      </w:r>
    </w:p>
    <w:p>
      <w:r>
        <w:rPr>
          <w:b/>
        </w:rPr>
        <w:t>E. 7.3.4</w:t>
      </w:r>
    </w:p>
    <w:p>
      <w:r>
        <w:t>Pour satisfaire à l’obligation de réduire le dommage ( cf .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rPr>
          <w:b/>
        </w:rPr>
        <w:t>E. 8.1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Pour apprécier, en l’espèce, le bien-fondé d’une éventuelle révision de la rente opérée en application de l’art. 17 LPGA, plus précisément la réduction du trois quarts de rente à une rente de 30% à partir du 1 er mai 2024, il convient de comparer la situation au moment de la décision du 19 octobre 2015 avec celle prévalant au moment de la décision du 27 mars 2024.</w:t>
      </w:r>
    </w:p>
    <w:p>
      <w:r>
        <w:rPr>
          <w:b/>
        </w:rPr>
        <w:t>E. 9.1</w:t>
      </w:r>
    </w:p>
    <w:p>
      <w:r>
        <w:t>La première de ces décisions se fondait sur le rapport d’expertise neurologique rendu le 5 mai 2015 par le Dr C______, selon lequel l’assurée présentait de multiples lésions cérébrales ischémiques entraînant les limitations fonctionnelles suivantes : fatigabilité très sévère, difficultés attentionnelles et diminution de la force musculaire de la jambe droite. Selon l’expert C______, ces nombreuses lésions ischémiques justifiaient sa fatigue, ses difficultés d’attention et de discrets signes déficitaires apparents à l’examen clinique (asymétrie de la force des membres inférieurs en défaveur de la droite, discrets troubles sensitifs au membre supérieur droit notamment). En effet, même s’il existait une discordance entre la multiplicité des lésions ischémiques et la discrétion de la symptomatologie clinique, cela ne devait pas pour autant faire penser que l’assurée était alors peu symptomatique : des processus cérébraux compensatoires lui permettaient d’éviter la fixation d’un tableau neurologique déficitaire mais ceux-ci expliquaient la fatigue très importante dont elle se plaignait et qui interférait avec toutes ses activités, même ménagères. En l’absence d’une affection sous-jacente avérée, soit par exemple une vasculite ou une maladie thromboembolique, la situation de l’assurée était rare et malgré une bonne compensation des risques cérébro-vasculaires, on pouvait imaginer qu’elle présenterait d’autres lésions ischémiques à l’avenir. Pour toutes ces raisons, l’expert C______ pensait que l’assurée était incapable d’assurer une activité professionnelle quelle qu’elle soit depuis novembre 2012, à l’exception de son activité actuelle de consultante auprès de B______ à raison de dix heures par mois, cette activité étant adaptée aux limitations fonctionnelles précitées. La décision du 27 mars 2024 litigieuse se fonde quant à celle sur le rapport d’expertise bidisciplinaire rendu le 2 novembre 2023 par les Drs K______ et J______, du I______. Sur le plan neurologique, Le Dr J______ a indiqué que l’examen clinique était apparemment bien meilleur que celui effectué par l’expert C______ en 2015, avec tout au plus une très discrète atteinte cérébelleuse et sensitive au niveau du membre inférieur droit, s’accompagnant d’un discret trouble sensitif superficiel dans le territoire collatéral radial de l’index gauche. À cela s’ajoutait le bilan neuropsychologique du 24 mai 2023 de H______, qui ne mettait en évidence qu’un trouble cognitif léger sous forme d’une atteinte du stockage mnésique tant en modalité verbale et non verbale, associée à une fatigabilité de l’attention divisée, ceci avec une petite composante thymique possible – examinée par le Dr K______. Si l’appréciation portée par l’expert C______ en 2015 tenait particulièrement compte de potentielles lésions vasculaires diffuses, susceptibles de handicaper l’assurée dans son évolution personnelle et professionnelle ultérieure, l’évolution observée depuis 2014, de même que le résultat de l’examen neuropsychologique du 24 mai 2023 faisaient penser que l’évolution avait été en fait beaucoup plus favorable qu’envisagée par le Dr C______. En effet, actuellement, l’atteinte devait être considérée comme discrète/modérée sur le plan neurologique et neuropsychologique, ce qui était en fait le facteur essentiel d’appréciation dans une telle situation. Sur le plan psychiatrique, le Dr K______ a relevé que l’assurée n’avait aucun antécédent psychiatrique. Elle se plaignait certes d’une symptomatologie dépressive depuis une année et demie à deux ans, liée au divorce conflictuel et à l’incertitude financière, se manifestant par de l’anhédonie, de l’inappétence, des troubles de l’endormissement, des réveils nocturnes, des difficultés de concentration et de mémoire, un certain pessimisme et, parfois, des idées suicidaires qui n’étaient pas envahissantes, il n’en demeurait pas moins qu’elle était active et non repliée socialement, ne faisait l’objet d’aucun suivi de la part d’un professionnel de la santé mentale et ne se faisait prescrire de psychotrope par aucun médecin. Selon le Dr K______, l’examen clinique ne montrait pas de signe dépressif sévère tel qu’un ralentissement psychomoteur ou des troubles cognitifs patents et la symptomatologie dépressive était réactionnelle au divorce conflictuel. Aussi retenait-il un trouble de l’adaptation (6B43). L’assurée se plaignait également d’une anxiété qui existait depuis toujours – qui pouvait perturber son endormissement, sa concentration et qui était source de stress. Selon l’expert, on pouvait retenir un diagnostic d’anxiété généralisée (6B00) qui était peu sévère. Dans la mesure où ces deux diagnostics psychiatriques n’occasionnaient pas de limitations fonctionnelles et n’étaient donc pas incapacitants, les experts ont considéré de manière consensuelle que seule une partie des diagnostics posés par l’expert neurologue (status après AVC hémisphérique gauche modéré le 10 novembre 2012 ; status après nouvel AVC ischémique hémisphérique gauche en septembre 2013 ; lésions ischémiques multiples bi-hémisphériques à l’IRM cérébrale ; discrète atteinte sensitivomotrice hémicorporelle droite séquellaire ; troubles neuropsychologiques légers selon les critères de l’ASNT) avaient une répercussion sur la capacité de travail. Les troubles actuels, bien que modérés, ne lui permettaient plus d’exercer les activités d’employée de commerce, mandataire et trésorière qu’elle avait exercées antérieurement mais étaient compatibles avec l’exercice à plein temps (100% avec une diminution de rendement de 30%) de l’activité de femme au foyer et toute activité adaptée, soit une activité sédentaire, sans apprentissage important, relativement simple et répétitive, n’impliquant ni engagement physique lourd, ni port régulier de charge de plus de 5-10 kg, ni déplacements importants à pied. Les troubles actuels, bien que modérés, contre-indiquaient en revanche la reprise des activités que l’assurée avait exercées antérieurement (employée de commerce puis mandataire). Il en allait de même de la reprise de l’activité de trésorière au sein de B______ qui nécessitait de la concentration et un engagement intellectuel important. En revanche, l’activité de femme au foyer pouvait être exercée au minimum à un taux de 70% (diminution de 30% en relation avec les tâches lourdes du ménage). En outre, toute activité simple respectant les limitations fonctionnelles précitées était exigible à un taux de 70% au maximum (plein temps avec une diminution de rendement de 30% liée à l’atteinte neurologique et neuropsychologique modérée). Concernant la date de cette amélioration, les experts ont précisé qu’il n’y avait jamais eu d’incapacité de travail du point de vue psychique et que d’un point de vue neurologique et neuropsychologique, la situation s’était très significativement améliorée depuis l’expertise du Dr C______ et « un peu théoriquement » à partir du bilan neuropsychologique du 24 mai 2023 de H______ qui avait montré une amélioration nette des atteintes neuropsychologiques avec un trouble cognitif léger uniquement.</w:t>
      </w:r>
    </w:p>
    <w:p>
      <w:r>
        <w:rPr>
          <w:b/>
        </w:rPr>
        <w:t>E. 9.2</w:t>
      </w:r>
    </w:p>
    <w:p>
      <w:r>
        <w:t>Il résulte de ce qui précède que par rapport à l’état de fait sur lequel se fondait la décision du 19 octobre 2015, l’état de santé de l’assurée s’est amélioré au point de rendre exigible, depuis le 24 mai 2023, l’exercice d’une activité adaptée aux limitations fonctionnelles précitées à un taux de 100% avec une diminution de rendement de 30%. D’un point de vue psychiatrique, la chambre de céans constate que même si l’expert K______ ne s’en tient pas strictement aux standards usuels d’une expertise psychiatrique réalisée selon la procédure probatoire structurée au sens de l’ATF 141 V 281 (ATF 143 V 418 ) et que ses explications requièrent de la part du lecteur qu’il recherche lui-même dans l’expertise les différents indicateurs et en fasse la synthèse, il ne résulte pas moins de l’inventaire de tous les points pertinents, en particulier des informations qu’il y a lieu de classer sous l’indicateur « atteinte à la santé », que le trouble d’adaptation (en lien avec la procédure de divorce) et le trouble d’anxiété généralisée, peu sévère, ne présentent pas un degré de gravité fonctionnel qui les rendrait invalidants. Par ailleurs, les informations à classer sous l’indicateur « personnalité » révèlent des ressources personnelles conservées. Tenant compte des plaintes de l’assurée, comportant une anamnèse détaillée, des diagnostics motivés et des conclusions claires et cohérentes dans le sens précisé, le rapport d’expertise neuropsychiatrique du 2 novembre 2023 peut se voir reconnaître valeur probante.</w:t>
      </w:r>
    </w:p>
    <w:p>
      <w:r>
        <w:rPr>
          <w:b/>
        </w:rPr>
        <w:t>E. 9.3</w:t>
      </w:r>
    </w:p>
    <w:p>
      <w:r>
        <w:t>D’avis contraire, l’assurée estime que son état de santé ne s’est pas amélioré, voire qu’il serait en aggravation depuis 2015. Pour appuyer cette assertion, elle se fonde sur le rapport du 20 mai 2024 du Dr D______ et des radiographies du thorax, effectuées le 7 juillet 2023 par la Dre L______.</w:t>
      </w:r>
    </w:p>
    <w:p>
      <w:r>
        <w:rPr>
          <w:b/>
        </w:rPr>
        <w:t>E. 9.3.1</w:t>
      </w:r>
    </w:p>
    <w:p>
      <w:r>
        <w:t>Concernant tout d’abord le Dr D______, ce neurologue traitant indique en substance dans son rapport du 20 mai 2024 précité que les conclusions du bilan neuropsychologique du 24 mai 2023 de H______ – sur lequel se fondait l’expert J______ – le laissaient un peu perplexe. En effet, dans le contexte de ses lésions ischémiques, l’assurée présente une fatigabilité fluctuante qui s’aggrave rapidement en cours de journée. Ce fait n’ayant probablement pas pu être objectivé dans le cadre du bilan du 24 mai 2023, il n’en a été tenu compte ni par H______ ni par l’expert J______. Le Dr D______ ajoute qu’il lui apparaît « fort improbable que les troubles neuropsychologiques installés deux ans après un AVC aient pu miraculeusement disparaître, en sachant que les mécanismes de compensation cérébrale se font ans les premiers mois après l’événement, au maximum au bout de 18 à 24 mois ». Ainsi, les conclusions de l’expertise du Dr C______ seraient toujours d’actualité et l’assurée « totalement incapable d’exercer une activité professionnelle quelle qu’elle soit ». La chambre de céans relève cependant que dans un rapport antérieur, daté du 25 janvier 2023, le Dr D______ indiquait qu’il notait une amélioration de l’état de santé de l’assurée grâce à la rééducation et au traitement médicamenteux. En outre son appréciation de la capacité de travail était même sensiblement plus favorable que celle de l’expert J______. En effet, même s’il rejoignait ce dernier en retenant que la capacité de travail était nulle dans l’activité habituelle, le Dr D______ était cependant d’avis que l’assurée pouvait exercer une activité strictement adaptée aux limitations fonctionnelles, soit « un travail de bureau avec un rendement fortement diminué (environ 20%) » ( cf . dossier AI, doc. 70, p. 215). Dans ses rapports ultérieurs – dont celui du 24 mai 2023 –, le Dr D______ ne fournit toutefois aucune explication sur cette apparente contradiction au sujet de la fatigabilité invoquée et le fait que cette dernière ne faisait apparemment pas obstacle à un travail de bureau avec un rendement diminué de 20% dans le rapport du 25 janvier 2023. En second lieu, la chambre de céans constate que dans leur évaluation consensuelle, les experts du I______ ont indiqué qu’ils se trouvaient « en face d’une patiente […] ne donnant l’impression d’être ni fatiguée ni fatigable, gardant le focus pendant toute l’anamnèse […] » ( cf . dossier AI, doc. 94, p. 314). De son côté, H______ a retenu à l’issue de son examen neuropsychologique – s’étant déroulé sur deux jours (23 et 24 mai 2024) – qu’il n’y avait « pas de signe de fatigabilité manifeste » ( cf . dossier AI, doc. 85, p. 268). Dans ces conditions, les appréciations contradictoires du Dr D______ ne révèlent aucun élément objectivement vérifiable ayant été ignoré par les experts et qui serait suffisamment pertinent pour remettre en cause leurs conclusions.</w:t>
      </w:r>
    </w:p>
    <w:p>
      <w:r>
        <w:rPr>
          <w:b/>
        </w:rPr>
        <w:t>E. 9.3.2</w:t>
      </w:r>
    </w:p>
    <w:p>
      <w:r>
        <w:t>Concernant ensuite les radiographies du thorax, effectuées le 27 juillet 2023, la Dre L______ précise que celles-ci étaient indiquées par un état grippal et révélaient un examen normal des données pertinentes (index cardio-thoracique dans la norme, pas d’infiltrat ni d’opacités dans les poumons, pas d’épanchement pleural, etc. ; cf . l’avis du SMR du 26 juin 2024). Pour sa part, l’assurée invoque pour la première fois des douleurs dorsales dans son complément au recours du 26 mai « 2023 » ( recte : 2024). Se fondant sur les informations des mêmes radiographies sur le squelette, l’assurée attribue ces douleurs à la spondylose dorsale attestée par le Dre L______. Elle précise qu’elle souffre du dos dès le réveil, notamment lorsqu’elle reste trop longtemps debout ou assise, que le simple fait de passer l’aspirateur lui est très difficile et qu’il y même des nuits où la douleur est tellement forte que cela la réveille. La chambre de céans estime qu’en l’absence de rapport médical établissant une corrélation entre la spondylose précitée d’une part, les limitations fonctionnelles et les douleurs dorsales alléguées d’autre part, les plaintes de l’assurée – qui sont au demeurant postérieures à l’état de fait existant au moment de la décision litigieuse – ne sont pas de nature à remettre en cause l’appréciation de la capacité de travail effectuée par les experts.</w:t>
      </w:r>
    </w:p>
    <w:p>
      <w:r>
        <w:rPr>
          <w:b/>
        </w:rPr>
        <w:t>E. 10</w:t>
      </w:r>
    </w:p>
    <w:p>
      <w:r>
        <w:t>Il reste à examiner le statut de l’intéressée (consid. 10) et, cela fait, son degré d’invalidité (consid. 11).</w:t>
      </w:r>
    </w:p>
    <w:p>
      <w:r>
        <w:rPr>
          <w:b/>
        </w:rPr>
        <w:t>E. 10.1</w:t>
      </w:r>
    </w:p>
    <w:p>
      <w:r>
        <w:t>La chambre de céans rappelle à titre liminaire que le choix de la méthode d’évaluation de l’invalidité doit être examiné tant lors de l’examen initial du droit à la rente qu’à l’occasion d’une révision de celle-ci (art. 17 LPGA ; cf . ci-dessus : consid. 7.1). Il convient néanmoins de préciser qu’on ne s’écartera de la méthode de calcul initialement appliquée qu’en présence d’une nécessité impérieuse (arrêt du Tribunal fédéral I 419/05 du 2 juin 2006 consid. 3.1 ; Michel VALTERIO, Commentaire de la loi fédérale sur l’assurance-invalidité, 2018, p. 404, n. 14), ce qui suppose qu’une modification importante soit intervenue et que celle-ci ressorte de la comparaison des faits tels qu’ils existaient au moment de la décision initiale de rente avec ceux qui prévalaient au moment de la décision litigieuse, prise à l’issue de la procédure de révision (ATF 125 V 369 consid. 2 ; arrêt du tribunal fédéral I 275/00 du 12 juin 2002 consid. 1c et 2). On ajoutera que pour une femme divorcée et invalide, on peut appliquer par analogie le droit du divorce selon lequel on peut attendre de ce qui est en bonne santé jusqu’à l’âge de 45 ans quelle se réintègre à plein temps dans la vie professionnelle lorsque son plus jeune enfant a atteint l’âge de 16 ans. Il ne s’agit cependant pas d’une règle absolue. L’élément déterminant n’est pas de répondre à la question de savoir dans quelle mesure elle devrait travailler du point de vue du droit du divorce, mais uniquement celui de déterminer hypothétiquement si elle travaillerait compte tenu des circonstances ( cf . les arrêts du Tribunal fédéral des assurances I 629/05 du 16 mars 2006 consid. 4.2.2 et I 385/06 du 26 septembre 2006 consid. 6.2.2, cités in VALTERIO, op. cit ., p. 403). À cet égard, les déclarations faites au cours de la procédure d’instruction doivent de toute façon être pondérées plus fortement que les déclarations ultérieures contraires, qui peuvent être influencées par des réflexions inspirées par le droit des assurances sociales ( cf . arrêt du Tribunal fédéral des assurances I 385/06 du 26 septembre 2006 consid. 6.2.2 et les arrêts cités ; cf . également ATF 121 V 47 consid. 2a et les références).</w:t>
      </w:r>
    </w:p>
    <w:p>
      <w:r>
        <w:rPr>
          <w:b/>
        </w:rPr>
        <w:t>E. 10.2</w:t>
      </w:r>
    </w:p>
    <w:p>
      <w:r>
        <w:t>Ceci étant précisé, la chambre de céans constate que les explications que l’assurée a données – pour la première fois au stade du recours – sur le statut d’active qui aurait été le sien dès décembre 2022 ne convainquent pas pour les raisons qui suivent. La titularité d’un CFC d’employée de commerce et l’exercice à plein temps d’une activité professionnelle pendant une dizaine d’années jusqu’à la naissance de son premier fils en 1998 parlent en effet en faveur d’une activité professionnelle laissée totalement puis partiellement de côté (5% dès 2009) en raison de l’éducation des enfants. Cette corrélation entre le taux d’activité et le besoin de soutien éducatif des enfants se retrouve également dans la reconnaissance par l’OAI d’un statut mixte avec une part professionnelle de 70% dans la décision du 19 octobre 2015, étant relevé que l’assurée expliquait dans un courrier du 2 septembre 2014 à l’OAI qu’elle désirait « reprendre une activité lucrative du fait que [ses] enfants [alors âgés de 16 et 12 ans avaient] grandi » ( cf . dossier AI, doc. 28, p. 84). On constate cependant que lorsque le fils cadet était à son tour âgé de 16 ans, soit en 2019, l’assurée, alors âgée de 52 ans, n’aurait apparemment pas repris d’activité à plein temps : « Je ne pense pas que j’aurais commencé à travailler à 100% après ma séparation en 2018 si [j’avais été] en bonne santé » ( cf . procès-verbal d’audience du 9 octobre 2014 p. 2). Concernant ensuite les rapports de l’assurée avec ses deux fils, le rapport d’enquête économique sur le ménage du 13 janvier 2020 pondérait à 5% le champ d’activité « soins et assistance aux enfants et aux proches » et comportait les précisions suivantes : « Le fils aîné a quitté le domicile familial. Madame est présente pour son fils âgé de 17 ans qui est en apprentissage. Il est autonome pour les déplacements. Elle s’occupe toujours des tâches éducatives et d’assistance nécessaires pour un jeune de cet âge » ( cf . dossier AI, doc. 62, p. 188). Dans la mesure où il ne ressort ni de cette pondération (5%) ni du type d’assistance évoqué que les enfants de l’assurée, en particulier le fils cadet, auraient présenté des besoins d’encadrement accrus qui auraient fait obstacle à une hypothétique reprise d’une activité à plein temps, il s’ensuit que la question du taux d’activité sans atteinte à la santé n’apparaît plus corrélée, dès les 16 ans du fils cadet, aux besoins de soutien éducatif mais, cas échéant, à d’autre facteurs comme la péjoration de la situation économique de l’intéressée dans les suites de sa séparation d’avec son mari. À cet égard, l’assurée a déclaré le 9 octobre 2024 : « J’ai eu droit à une pension alimentaire sur décision de justice de 2018, mon mari a payé quelques mois CHF 1’500.-, puis il y a eu une nouvelle décision en 2019 sauf erreur qui supprimait la pension alimentaire car mon mari ne travaille plus, il ne peut plus me la verser » (procès-verbal d’audience du 9 octobre 2024, p. 1). L’assurée a par ailleurs précisé : « ma séparation a eu un impact sur ma situation financière mais cela allait » ( cf . procès-verbal d’audience du 9 octobre 2024, p. 2). Il reste donc à déterminer l’éventuelle incidence – sur le statut – de l’événement ayant motivé la demande de révision formée le 9 décembre 2022 par l’intéressée, à savoir le fait de n’avoir pas été réélue à la vice-présidence de B______ et, en conséquence, d’avoir cessé toute activité lucrative au 30 novembre 2022, ce qui dans l’esprit de l’assurée, justifiait l’octroi d’une rente entière dès le 1 er décembre 2022 ( cf . dossier AI, doc. 65, p. 97). Il sied de constater que même si la situation économique de l’assurée s’est encore dégradée dès décembre 2022, avec la perte du revenu mensuel de CHF 380.- réalisé jusqu’alors auprès de B______, il n’en reste pas moins que lors de son audition du 9 octobre 2024 par la chambre de céans, l’assurée n’a pas invoqué sa situation financière – déjà précaire avant la perte de son emploi à 5% auprès de B______ – à l’appui d’une activité à plein temps qu’elle aurait reprise en décembre 2022 sans atteinte à la santé, elle a en revanche déclaré que « jusque-là [ i.e . : jusqu’en décembre 2022], je m’occupais toujours de mes enfants même s’ils étaient relativement âgés [24 et 19 ans] » ( cf . procès-verbal d’audience du 9 octobre 2024, p. 2). Dans la mesure où l’âge des enfants ne faisait déjà plus obstacle, on l’a vu, à l’éventuelle reprise d’une activité lucrative à plein temps en 2019, on ne saurait considérer que les trois années supplémentaires qui se sont écoulées jusqu’en décembre 2022 – pendant lesquelles elle n’aurait de toute manière pas travaillé à plein temps malgré la suppression de la pension alimentaire – seraient constitutives d’une modification importante de la situation depuis la décision du 19 octobre 2015 qui retenait un statut mixte avec une part professionnelle de 70%. On rappellera enfin qu’à réception du projet de décision du 11 avril 2023, envisageant de ne pas augmenter la rente d’invalidité – et donc de maintenir le trois quarts de rente –, l’assurée n’a pas invoqué un changement de statut qui aurait eu lieu en décembre 2022. Elle s’est au contraire contentée d’exprimer son désaccord avec ce projet en soutenant que ses problèmes de santé l’empêchaient de travailler. Dans ces circonstances, les déclarations de l’assurée concernant un statut d’active à 100%, faites pour la première fois le 2 mai 2024, soit dans son recours contre la décision litigieuse, ne suffisent pas à établir, au degré de la vraisemblance prépondérante, le passage à un statut d’active en décembre 2022. En conséquence, la décision litigieuse ne prête pas le flanc à la critique en tant que l’OAI y maintient le statut mixte (avec une part professionnelle de 70%) qu’il avait déjà reconnu dans sa décision du 19 octobre 2015.</w:t>
      </w:r>
    </w:p>
    <w:p>
      <w:r>
        <w:rPr>
          <w:b/>
        </w:rPr>
        <w:t>E. 11</w:t>
      </w:r>
    </w:p>
    <w:p>
      <w:r>
        <w:t>Conformément aux principes exposés ci-dessus (consid. 7.2), il convient à présent de fixer le degré d’invalidité pour la part professionnelle (ci-après : consid. 11.1 à 11.4) et les travaux habituels (consid. 11.5).</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11.2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9C_500/2020 du 1 er mars 2021 consid. 4.1 et les références ; cf . également 8C_537/2023 du 17 avril 2024 consid. 4.2.3 et 5.1 et les références). Selon l’art. 26 al. 4 RAI,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Si, exceptionnellement, le revenu sans invalidité ne peut pas être déterminé sur la base du dernier revenu de l’activité lucrative effectivement touché parce que ce dernier ne peut pas être déterminé avec suffisamment de précision, il est possible d’utiliser des valeurs statistiques. C’est le cas, par exemple, si l’assuré est absent du marché du travail depuis plusieurs années, si l’emploi qu’il occupait a été supprimé pour des raisons d’ordre opérationnel (arrêt du Tribunal fédéral 8C_513/2014 du 17 décembre 2014) ou si le revenu réalisé durant les premières années d’une activité lucrative indépendante est peu représentatif (arrêt du Tribunal fédéral 9C_148/2016 du 2 novembre 2016 ; cf . Circulaire sur l’invalidité et les rentes dans l’assurance-invalidité [CIRAI], ch. 3313).</w:t>
      </w:r>
    </w:p>
    <w:p>
      <w:r>
        <w:rPr>
          <w:b/>
        </w:rPr>
        <w:t>E. 11.3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11.3.1</w:t>
      </w:r>
    </w:p>
    <w:p>
      <w:r>
        <w:t>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 cf . arrêt du Tribunal fédéral 8C_657/2023 du 14 juin 2024 consid. 6.1, destiné à la publication).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Rechtsprechung des Bundesgerichts zum Bundesgesetz über die Invalidenversicherung , 4 e éd. 2022, n° 101 ad art. 28 a LAI).</w:t>
      </w:r>
    </w:p>
    <w:p>
      <w:r>
        <w:rPr>
          <w:b/>
        </w:rPr>
        <w:t>E. 11.3.2</w:t>
      </w:r>
    </w:p>
    <w:p>
      <w:r>
        <w:t>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Dans un arrêt de principe ( 8C_823/2023 du 8 juillet 2024, destiné à la publication),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 cf . consid. 9.4.2). Or, en limitant la déduction à 10% dans le cas où les capacités fonctionnelles de la personne assurée ne lui permettent de travailler qu’à un taux d’occupation de 50% ou moins ( cf .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 Selon l’al. 2 des dispositions transitoires relatives à la modification du 18 octobre 2023, lorsque l’octroi d’une rente ou d’un reclassement a été refusé avant l’entrée en vigueur de cette modification parce que le taux d’invalidité était insuffisant, une nouvelle demande n’est examinée que s’il est établi de façon plausible qu’un calcul du taux d’invalidité effectué en application de l’art. 26 bis al. 3, pourrait aboutir cette fois à la reconnaissance d’un droit à la rente ou au reclassement.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w:t>
      </w:r>
    </w:p>
    <w:p>
      <w:r>
        <w:rPr>
          <w:b/>
        </w:rPr>
        <w:t>E. 11.4</w:t>
      </w:r>
    </w:p>
    <w:p>
      <w:r>
        <w:t>Il ressort en l’espèce de la note du 11 janvier 2024 que l’OAI a déterminé le degré d’invalidité de l’assurée au moment de la révision de sa rente en 2024 en se fondant sur des données statistiques pour les revenus avec et sans invalidité. Sachant qu’avant son atteinte à la santé en 2012, l’assurée, titulaire d’un CFC d’employée de commerce, a travaillé à plein temps pour une caisse maladie entre 1990 et 1998 (d’abord en tant que gestionnaire puis de mandataire/cheffe de service) puis, après dix ans d’absence du marché du travail, dès 2009, en qualité de trésorière de B______ à 5%, le choix de l’OAI de déterminer le revenu sans invalidité au moyen de l’ESS 2020, plus particulièrement sur la base du tableau TA1_tirage_skill_level (secteur privé), ligne 64-66 (activité financière et d’assurances) n’est pas contesté et n’apparaît pas contestable. Il en va de même du choix du niveau de compétence 2. Pour le reste, en l’absence de statistiques disponibles au moment de la décision litigieuse pour l’année prise en compte pour l’évaluation de l’invalidité (2024), les indications figurant dans la note du 11 janvier 2024, concernant la durée normale du travail et l’indexation à l’ISS 2022, n’apparaissent pas critiquables, si bien que le revenu sans invalidité, fixé pour un plein temps à CHF 84’481.-, peut être confirmé. S’agissant du revenu avec invalidité, l’OAI l’a également déterminé en fonction de l’ESS 2020, soit à la lumière du tableau TA1_tirage_skill_level (secteur privé), en sélectionnant la ligne « total » pour une femme dans une activité correspondant au niveau de compétence 1 (CHF 4’276.-). En l’absence d’activité exercée par l’assurée, permettant de mettre pleinement en valeur la capacité de travail résiduelle retenue par les experts du I______ (100% avec une réduction de rendement de 30% dans une activité simple, répétitive, sans apprentissage important, sans engagement physique lourd, sédentaire, sans déplacements importants à pied), le recours aux données statistiques précitées apparaît correct. Il en va de même des indications concernant la durée normale du travail et l’indexation à l’ISS 2022. En outre, le calcul proposé dans la note du 11 janvier 2024 tient dûment compte de la diminution de rendement de 30% et d’un abattement forfaitaire de 10% ( cf . art. 26 bis al. 3 RAI dans sa teneur en vigueur au 1 er janvier 2024), de sorte que le revenu avec invalidité, fixé à CHF 34’160.- peut également être repris. Il s’ensuit que pour la part professionnelle, l’OAI a établi correctement la perte de gain subie à CHF 50’321.- (soit CHF 84’481.- sous déduction de CHF 34’160.-), respectivement 59.57% ([84’481 – 34’160] x 100 / 84’481 = 59.57), ce qui rapporté à une part de 70%, correspond à 41.7%, arrondi à 42% ( cf . ATF 130 V 121 consid. 3.2).</w:t>
      </w:r>
    </w:p>
    <w:p>
      <w:r>
        <w:rPr>
          <w:b/>
        </w:rPr>
        <w:t>E. 11.5</w:t>
      </w:r>
    </w:p>
    <w:p>
      <w:r>
        <w:t>En ce qui concerne les travaux habituels, qui correspondent à une part de 30%, la décision litigieuse se borne à mentionner qu’elle ne retient « aucun empêchement », si bien que l’invalidité totale ne dépasse pas 42%. D’autres précisions ne ressortent pas de la note du 11 janvier 2024 précitée. La chambre de céans constate pour sa part que les experts du I______ précisent dans leur rapport du 2 novembre 2023 que « l’activité de femme au foyer peut être exercée au minimum à un taux de 70% (diminution de 30% en relation avec les tâches lourdes du ménage) » (dossier AI, doc. 94, p. 317), ce pour des raisons uniquement somatiques (dossier AI, doc. 94, p. 374-375). Par ailleurs, les experts ont précisé que l’assurée pouvait effectuer le ménage léger, mais qu’elle était « vraisemblablement handicapée pour effectuer les activités lourdes du ménage telles que faire les vitres, nettoyer les installations sanitaires, faire les "à-fonds", sortir la poubelle », qu’elle devait être aidée pour les achats plus importants ». Même si elle pouvait faire la lessive et entretenir les vêtements, elle éprouvait « certaines difficultés, notamment pour sortir les vêtements de la machine ». Enfin, les experts ont noté que « la patiente est actuellement séparée de son époux et que ses enfants sont adultes, le dernier de la fratrie l’aidant pour les activités lourdes du ménage, étant encore à domicile » (dossier AI, doc. 94, p. 320-321). La chambre de céans ne saurait toutefois considérer qu’au moment de la décision litigieuse, il serait établi, au degré de la vraisemblance prépondérante, que l’assurée ne rencontrerait plus aucun empêchement, ce pour plusieurs raisons, dont le départ du fils cadet de l’assurée de l’appartement de sa mère le 1 er novembre 2023, selon les informations ressortant du registre informatisé de l’office cantonal de la population et de migrations (OCPM).</w:t>
      </w:r>
    </w:p>
    <w:p>
      <w:r>
        <w:rPr>
          <w:b/>
        </w:rPr>
        <w:t>E. 11.5.1</w:t>
      </w:r>
    </w:p>
    <w:p>
      <w:r>
        <w:t>Concernant tout d’abord la situation avant le 1 er novembre 2023, il sied de constater que l’expert neurologue J______, qui a pris ses conclusions en fonction de la composition du ménage avant cette date, reconnaît que l’assurée est « vraisemblablement handicapée pour effectuer les activités lourdes du ménage », raison pour laquelle il reconnaît une diminution de la capacité à accomplir les tâches ménagères de 30%. Ce raisonnement est toutefois incomplet en tant qu’il part apparemment du principe que les activités lourdes du ménage représenteraient un pourcentage de 30%. Cela revient en effet à faire fi de la pondération des champs d’activité qui peuvent eux-mêmes comprendre – ou non – des activités lourdes dans des proportions variables ( cf . la dernière enquête économique sur le ménage, effectuée en janvier 2020 en fonction de la même composition du ménage, comprenant l’assurée et son fils). De plus, cet expert ne se prononce pas sur le point de savoir si pour les activités lourdes du ménage, une aide est exigible du fils cadet et si oui, dans quelles proportions. Dans un arrêt assez récent, le Tribunal fédéral a précisé que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 unter gleichen Vorzeichen »). Cela signifie que les appréciations médicales doivent se référer également aux différentes tâches domestiques et – pour les personnes ne vivant pas seules –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 cf . arrêt du Tribunal fédéral 9C_657/2021 du 22 novembre 2022 consid. 5.2). Dans la mesure où, en l’espèce, l’expert J______ n’indique pas non plus s’il se rallie aux conclusions de cette enquête ou s’il entend s’en écarter et si oui, sur quelle base, il n’est pas possible, en l’état, de déterminer si une modification du degré d’invalidité dans les travaux habituels a eu lieu entre la communication – non contestée – du 21 janvier 2020 (par laquelle l’OAI a fait siennes les conclusions du rapport d’enquête ménagère du 13 janvier 2020) et le 31 octobre 2023, dernier jour de la présence du fils cadet de l’assurée dans l’appartement de sa mère. Dans ces conditions, l’OAI ne pouvait pas se fonder sur le rapport d’expertise du I______ pour déterminer les empêchements de l’assurée dans la tenue du ménage. Partant, il ne pouvait pas non plus conclure, dans la décision litigieuse, à l’absence de tout empêchement de l’assurée à ce niveau – qui plus est sans donner la moindre explication à l’appui de ce résultat.</w:t>
      </w:r>
    </w:p>
    <w:p>
      <w:r>
        <w:rPr>
          <w:b/>
        </w:rPr>
        <w:t>E. 11.5.2</w:t>
      </w:r>
    </w:p>
    <w:p>
      <w:r>
        <w:t>Concernant ensuite la situation à partir du 1 er novembre 2023, il sied de rappeler tout d’abord que selon le Tribunal fédéral, le départ des enfants a des répercussions en premier lieu sur le domaine des tâches ménagères. Un tel changement dans la situation familiale entraîne en règle générale une nouvelle pondération des différentes activités que les travaux habituels comprennent. En outre, un ménage plus petit quant au nombre de personnes qui le composent signifie un allègement de la charge de travail de la personne responsable de la tenue du ménage, dans la mesure où il y a moins de courses, de cuisine et de nettoyage à faire et moins de travail à effectuer pour l’entretien du linge et des vêtements. En contrepartie, l’aide éventuelle des personnes qui ne vivent plus dans le même ménage disparaît. De telles modifications constituent un motif de révision au sens de l’art. 17 al. 1 LPGA dans la mesure où elles peuvent avoir des répercussions sur l’ampleur de la restriction dans le domaine des tâches et – même si le taux d’invalidité professionnelle reste inchangé – également sur l’étendue du droit à la rente (arrêt du Tribunal fédéral 9C_410/2015 du 13 novembre 2015 consid. 4.2.1).</w:t>
      </w:r>
    </w:p>
    <w:p>
      <w:r>
        <w:rPr>
          <w:b/>
        </w:rPr>
        <w:t>E. 11.5.3</w:t>
      </w:r>
    </w:p>
    <w:p>
      <w:r>
        <w:t>Compte tenu de ces principes jurisprudentiels et des changements qui sont intervenus le 1 er novembre 2023 dans la composition du ménage de l’assurée, il incombera à l’OAI de mettre en œuvre les mesures d’instruction idoines lui permettant d’évaluer la part du degré d’invalidité de l’assurée relative aux travaux habituels, d’une part pour la période comprise entre la communication du 21 janvier 2020 et le 31 octobre 2023, et d’autre part pour la période à compter du 1 er novembre 2023, ce en examinant préalablement si la spondylose dorsale ( cf . ci‑dessus : consid. 9.3.2) entraîne des limitations fonctionnelles supplémentaires par rapport à celles retenues par les experts du I______.</w:t>
      </w:r>
    </w:p>
    <w:p>
      <w:r>
        <w:rPr>
          <w:b/>
        </w:rPr>
        <w:t>E. 12</w:t>
      </w:r>
    </w:p>
    <w:p>
      <w:r>
        <w:t>Il résulte en synthèse de ce qui précède qu’entre la décision du 19 octobre 2015 et la décision litigieuse, l’état de santé de l’assurée s’est amélioré au point de rendre exigible, depuis le 24 mai 2023, l’exercice d’une activité adaptée aux limitations fonctionnelles retenues par les experts du I______, ceci à un taux de 100% avec une diminution de rendement de 30%, sous réserve de l’incidence supplémentaire éventuelle de la spondylose dorsale qu’il incombera à l’OAI d’investiguer. En revanche, le dossier ne permet pas, pour les raisons évoquées (consid. 11.5), de déterminer l’évolution du taux d’invalidité dans les travaux habituels entre la communication du 21 janvier 2020 – par laquelle l’OAI a fait siennes les conclusions du rapport d’enquête ménagère du 13 janvier 2020 – et la date de la décision litigieuse.</w:t>
      </w:r>
    </w:p>
    <w:p>
      <w:r>
        <w:rPr>
          <w:b/>
        </w:rPr>
        <w:t>E. 13</w:t>
      </w:r>
    </w:p>
    <w:p>
      <w:r>
        <w:t>Au vu des incertitudes qui entourent, en l’état de l’instruction, la capacité de gain de l’assurée et sa capacité d’accomplir ses travaux habituels, il apparaît prématuré que la chambre de céans examine le droit de l’assurée à d’éventuelles mesures de réadaptation ( cf . art. 8 al. 1 let. a LAI a contrario ).</w:t>
      </w:r>
    </w:p>
    <w:p>
      <w:r>
        <w:rPr>
          <w:b/>
        </w:rPr>
        <w:t>E. 14</w:t>
      </w:r>
    </w:p>
    <w:p>
      <w:r>
        <w:t>Le recours sera donc partiellement admis, la décision du 27 mars 2024 annulée et la cause renvoyée à l’OAI pour instruction au sens des considérants et nouvelle décision sur le droit à la rente de l’assurée.</w:t>
      </w:r>
    </w:p>
    <w:p>
      <w:r>
        <w:rPr>
          <w:b/>
        </w:rPr>
        <w:t>E. 15.1</w:t>
      </w:r>
    </w:p>
    <w:p>
      <w:r>
        <w:t>Bien qu’elle obtienne partiellement gain de cause, l’assurée, non représentée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 ég. ATF 125 II 518 et Jean MÉTRAL, in DUPONT/MOSER-SZELESS [éd.], Commentaire romand de la loi sur la partie générale des assurances sociales n. 103 ad art. 61 LPGA).</w:t>
      </w:r>
    </w:p>
    <w:p>
      <w:r>
        <w:rPr>
          <w:b/>
        </w:rPr>
        <w:t>E. 15.2</w:t>
      </w:r>
    </w:p>
    <w:p>
      <w:r>
        <w:t>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