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A/1467/2007 vom 31. Mai 2007</w:t>
      </w:r>
    </w:p>
    <w:p>
      <w:r>
        <w:t>GE Cour de justice, 2007-05-31, FR</w:t>
      </w:r>
    </w:p>
    <w:p>
      <w:r>
        <w:rPr>
          <w:b/>
        </w:rPr>
        <w:t xml:space="preserve">Quelle: </w:t>
      </w:r>
      <w:r>
        <w:t>https://mcp.opencaselaw.ch/entscheid/ge_gerichte_A_1467_2007</w:t>
      </w:r>
    </w:p>
    <w:p>
      <w:r>
        <w:t>FR: GE_GERICHTE A/1467/2007 du 31 mai 2007</w:t>
      </w:r>
    </w:p>
    <w:p>
      <w:r>
        <w:t>IT: GE_GERICHTE A/1467/2007 del 31 maggio 2007</w:t>
      </w:r>
    </w:p>
    <w:p>
      <w:pPr>
        <w:pStyle w:val="Heading2"/>
      </w:pPr>
      <w:r>
        <w:t>Regeste</w:t>
      </w:r>
    </w:p>
    <w:p>
      <w:r>
        <w:t>Caducité du séquestre. Péremption. | La créancière n'a pas requis la continuation de la poursuite dans le délai de l'art. 279 al. 3 LP. Le séquestre est caduc. | LP.279.3; LP.280</w:t>
      </w:r>
    </w:p>
    <w:p>
      <w:pPr>
        <w:pStyle w:val="Heading2"/>
      </w:pPr>
      <w:r>
        <w:t>Erwägungen</w:t>
      </w:r>
    </w:p>
    <w:p>
      <w:r>
        <w:rPr>
          <w:b/>
        </w:rPr>
        <w:t>E. 1</w:t>
      </w:r>
    </w:p>
    <w:p>
      <w:r>
        <w:t>La présente plainte a été formée en temps utile et dans les formes prescrites auprès de l’autorité compétente contre une mesure sujette à plainte. En tant que poursuivante, la plaignante a qualité pour agir par cette voie (art. 17 LP ; art. 10 al. 1 et 13 LaLP ; art. 56R al. 3 LOJ). Elle est donc recevable. 2.a. Selon l'art. 279 al. 1 LP, le créancier qui a fait opérer un séquestre sans poursuite ou action préalable doit requérir la poursuite ou intenter action dans les dix jours à compter de la réception du procès-verbal de séquestre par le créancier (art. 279 al. 1 LP). Si le débiteur forme opposition, le créancier doit requérir la mainlevée de celle-ci ou intenter action en reconnaissance de la dette dans les dix jours à compter de la date à laquelle l'opposition lui a été communiquée (art. 279 al. 2 LP). Si le débiteur n'a pas formé opposition ou si celle-ci a été écartée, le créancier doit requérir la continuation de la poursuite dans les dix jours à compter de la date où il est en droit de le faire (art. 88 LP). Lorsque l'opposition a été annulée par le juge de la mainlevée ou par le juge du fond, le délai de dix jours est compté à partir de la communication du jugement annulant l'opposition (Pierre-Robert Gilliéron , Commentaire, ad art. 279 n° 13). La poursuite est continuée par voie de saisie ou de faillite, suivant la qualité du débiteur (art. 279 al. 3 LP). Aux termes de l'art. 280 ch. 1 LP, les effets du séquestre cessent lorsque le créancier laisse écouler les délais qui lui sont assignés à l'art. 279 LP. La caducité du séquestre s'opère de plein droit, le débiteur recouvrant la libre disposition des biens séquestrés et ces derniers devant lui être restitués. L'Office doit libérer d'office les biens séquestrés et, s'il ne le fait pas, le séquestré peut lui demander en tout temps de s'exécuter (ATF non publié 5P.265/2005 du 8 décembre 2005 consid. 4.1 ; ATF 106 III 92 consid. 1, JdT 1982 II 10). 2.b. Lorsque le commandement de payer a été frappé d'opposition, le poursuivant doit joindre à sa réquisition de continuer la poursuite, le jugement annulant l'opposition par la mainlevée, muni d'une attestation de son caractère exécutoire et, si le droit cantonal prévoit un recours, une déclaration judiciaire certifiant que le jugement de première instance est passé en force et, si l'opposition a été levée par le prononcé d'une mainlevée provisoire, la preuve qu'une action en libération de dette n'a pas été intentée (art. 82 et 83 LP; Pierre-Robert Gilliéron , Commentaire, ad art. 88 n° 26). Le Tribunal fédéral a jugé que l'omission par le créancier de joindre à la réquisition de continuer la poursuite la déclaration d'entrée en force du prononcé de la mainlevée ou la preuve qu'une action en libération de dette n'avait pas été intentée, avait été retirée ou avait été rejetée, ne saurait avoir d'incidence sur le calcul du délai de péremption; elle empêche simplement l'Office de donner suite à la réquisition de continuer la poursuite tant que les annexes prescrites ne sont pas déposées, étant rappelé que de telles annexes ne sont pas exigées lorsque la réquisition tend à une saisie provisoire au sens de l’art. 83 al. 1 LP (Pierre-Robert Gilliéron , Commentaire ad art. 83 n° 18 ; DCSO/9/03 du 9 janvier 2003 confirmée par l'ATF non publié 7B.18/2003 du 18 février 2003 ; ATF 92 III 55 , JdT 1966 II 67, JdT 1967 II 4, c-2). 2.c. Les jugements prononcés par le Tribunal de première instance sont rendus en premier ressort, à l'exception, notamment, de la demande en mainlevée de l'opposition définitive ou provisoire, formée par le créancier muni d'un jugement ou d'une reconnaissance de dette, qui sont rendus en dernier ressort (art. 20 let. b LaLP; art. 23 LaLP). Peuvent faire l'objet d'un appel dit extraordinaire à la Cour de justice, les jugements rendus en dernier ressort par le Tribunal de première instance (art. 292 LPC). L'appel interjeté dans le cadre de l'art. 292 LPC ne suspend pas l'exécution du jugement attaqué. Toutefois, le président de la cour peut, sur le vu de la requête d'appel, ordonner la suspension provisoire (art. 304 et 356 al. 2 LPC). Tout jugement contradictoire rendu en dernier ressort par le tribunal ou par le juge de paix chargé des conciliations acquiert la force de chose jugée (art. 465 let. b LPC). Lorsque le Tribunal de première instance ou le Juge de paix statuent en dernier ressort, leurs jugements sont d’exécution immédiate, nonobstant un éventuel recours extraordinaire, un tel recours ne déployant pas d’effet suspensif ( Bertossa-Gaillard-Guyet-Schmidt, Commentaire de la loi de procédure civile genevoise, II, ad art. 465 n° 3).</w:t>
      </w:r>
    </w:p>
    <w:p>
      <w:r>
        <w:rPr>
          <w:b/>
        </w:rPr>
        <w:t>E. 3</w:t>
      </w:r>
    </w:p>
    <w:p>
      <w:r>
        <w:t>Dans le cas particulier, le débiteur a formé opposition au commandement de payer en validation du séquestre qui lui a été notifié le 3 octobre 2006. Par jugement du 1 er février 2007, notifié aux parties le 2 février 2007, le Tribunal de première instance a prononcé la mainlevée définitive de l'opposition formée au commandement de payer précité. Ce jugement a été rendu contradictoirement et en dernier ressort. Il a été notifié aux parties le 2 février 2007 et ces dernières l'ont reçu le 6 février 2007. Le jugement était donc exécutoire à cette date et la créancière devait requérir la continuation de la poursuite dans les dix jours suivants la communication du jugement, soit au plus tard le 16 février 2007. La réquisition de continuer la poursuite déposée le 15 mars 2007 est donc tardive et l'Office devait refuser d'y donner suite. Partant, la décision de l'Office est fondée et la plainte doit être rejetée. * * * * * PAR CES MOTIFS, LA COMMISSION DE SURVEILLANCE SIÉGEANT EN SECTION : A la forme : Déclare recevable la plainte A/1467/2007 formée le 6 avril 2007 par Mme J______ contre la décision de l'Office des poursuites du 2 avril 2007 dans la poursuite n° 06 xxxx89 Z. Au fond : 1. La rejette. 2. Déboute les parties de toutes autres conclusions. Siégeant : M. Grégory BOVEY, président ; MM. Christian CHAVAZ et Olivier WEHRLI, juges assesseurs. Au nom de la Commission de surveillance : Marisa BATISTA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