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A/1450/2002 vom 15. April 2004</w:t>
      </w:r>
    </w:p>
    <w:p>
      <w:r>
        <w:t>GE Cour de justice, 2004-04-15, FR</w:t>
      </w:r>
    </w:p>
    <w:p>
      <w:r>
        <w:rPr>
          <w:b/>
        </w:rPr>
        <w:t xml:space="preserve">Quelle: </w:t>
      </w:r>
      <w:r>
        <w:t>https://mcp.opencaselaw.ch/entscheid/ge_gerichte_A_1450_2002</w:t>
      </w:r>
    </w:p>
    <w:p>
      <w:r>
        <w:t>FR: GE_GERICHTE A/1450/2002 du 15 avril 2004</w:t>
      </w:r>
    </w:p>
    <w:p>
      <w:r>
        <w:t>IT: GE_GERICHTE A/1450/2002 del 15 aprile 2004</w:t>
      </w:r>
    </w:p>
    <w:p>
      <w:pPr>
        <w:pStyle w:val="Heading2"/>
      </w:pPr>
      <w:r>
        <w:t>Volltext</w:t>
      </w:r>
    </w:p>
    <w:p>
      <w:r>
        <w:t>Genève Cour de justice (Cour de droit public) Chambre des assurances sociales 15.04.2004 A/1450/2002</w:t>
      </w:r>
    </w:p>
    <w:p>
      <w:r>
        <w:t>A/1450/2002 ATAS/250/2004 du 15.04.2004 ( AI ) , REJETE RÉPUBLIQUE ET CANTON DE GENÈVE POUVOIR JUDICIAIRE A/1450/2002 ATAS/250/2004 ARRÊT DU TRIBUNAL CANTONAL DES ASSURANCES SOCIALES du 15 avril 2004 5ème Chambre En la cause Madame M__________ recourante contre OFFICE CANTONAL DE L’ASSURANCE-INVALIDITE, rue de Lyon 97, case postale 425, 1221 GENEVE 13 intimé Attendu en fait que Madame M__________ a été mise, par la décision de l’Office cantonal de l’assurance-invalidité (ci-après : OCAI) du 19 juillet 2002, au bénéfice d’une demi-rente simple d’invalidité depuis le 1 er août 1999 jusqu’au 30 novembre 2000 et, pendant la même période, d’une demi-rente complémentaire pour son époux et son enfant ; Que l’OCAI a communiqué dans cette même décision à l’assurée que le rétroactif afférent aux rentes complémentaires pour le conjoint, soit le montant de 3'856 fr., a été versé directement à ce dernier ; Que l’assurée a formé recours contre cette décision, par sa lettre du 13 août 2002, en concluant à ce que les rentes complémentaires concernant son ex-époux soient versées à elle-même, en faisant valoir que ce dernier n’avait jamais pourvu à l’entretien de sa famille pendant la période précitée ; Que la Caisse interprofessionnelle d’assurance-vieillesse et survivants de la Fédération romande des syndicats patronaux (ci-après : FRSP-CIAM) a conclu, dans sa détermination du 23 septembre 2002, au rejet du recours ; Que la Caisse a fait valoir à l’appui de sa position que les époux vivaient séparés depuis le printemps 1997, que leur divorce était entré en force le 21 novembre 2000 et que l’ex-époux avait formé, en date du 26 juin 2002, la demande de verser en ses mains la demi-rente complémentaire lui revenant ; Attendu en droit que, à la suite de la création et de l’entrée en fonction du Tribunal cantonal des assurances sociales dès le 1 er août 2003 (art.1 let. r de la loi sur l’organisation judiciaire, ci-après : LOJ) les causes introduites avant l’entrée en vigueur de la loi précitée et pendantes devant la Commission cantonale de recours en matière d’assurance-vieillesse et survivants sont transmises d’office au Tribunal de céans, selon l’art. 3 al. 3 des dispositions transitoires de la loi du 14 novembre 2002 modifiant la LOJ ; Que la compétence du Tribunal de céans est dès lors établie pour statuer dans le présent litige ; Que la loi fédérale sur la partie générale du droit des assurances sociales du 6 octobre 2000 (ci-après : LPGA) est entrée en vigueur le 1 er janvier 2003, entraînant de nombreuses modifications dans le domaine de l’assurance-invalidité ; Que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consid.1, 121 V 386 , consid. 1b ; cf. également dispositions transitoires, art. 82 al. 1 LPGA) ; Que le présent litige sera par conséquent examiné à la lumière des dispositions de la loi fédérale sur l’assurance-invalidité du 19 juin 1959 (ci-après : LAI) et de son règlement, ainsi que de la loi fédérale sur l’assurance-vieillesse et survivants du 20 décembre 1946 (LAVS) en vigueur jusqu’au 31 décembre 2002 ; Que le recours est déposé dans les forme et délai imposés par la loi, de sorte qu’il convient de le déclarer recevable, conformément aux art. 69 aLAI et 84 aLAVS ; Que selon l’art. 22 bis al. 2 aLAVS, lequel s’applique par renvoi de l’art. 34 aLAI, si le conjoint qui peut prétendre à une rente ne subvient pas à l’entretien de la famille ou si les époux vivent séparés, la rente complémentaire doit être versée à l’autre conjoint si celui-ci le demande ; Qu’il n’est pas contesté en l’espèce que les époux étaient séparés depuis 1997 et que l’ex-époux a formé la demande pour que la rente complémentaire lui revenant soit versée en ses mains ; Que les conditions d’application de l’art. 22bis al. 2 aLAVS sont par conséquent remplies pour le versement des rentes en cause à l’autre conjoint ; Qu’il convient dès lors de considérer que le recours est mal fondé et de le rejeter. PAR CES MOTIFS, LE TRIBUNAL CANTONAL DES ASSURANCES SOCIALES : (conformément à la disposition transitoire de l’art. 162 LOJ) A la forme : Déclare recevable le recours formé par Madame M__________ contre la décision du 19 juillet 2002 de l’Office cantonal de l’assurance-invalidité. Au fond : Le rejette. Confirme la décision attaquée. Dit qu’il n’est pas perçu d’émolument ni alloué d’indemnité.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