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A/1442/2018 vom 13. Mai 2019</w:t>
      </w:r>
    </w:p>
    <w:p>
      <w:r>
        <w:t>GE Cour de justice, 2019-05-13, FR</w:t>
      </w:r>
    </w:p>
    <w:p>
      <w:r>
        <w:rPr>
          <w:b/>
        </w:rPr>
        <w:t xml:space="preserve">Quelle: </w:t>
      </w:r>
      <w:r>
        <w:t>https://mcp.opencaselaw.ch/entscheid/ge_gerichte_A_1442_2018</w:t>
      </w:r>
    </w:p>
    <w:p>
      <w:r>
        <w:t>FR: GE_GERICHTE A/1442/2018 du 13 mai 2019</w:t>
      </w:r>
    </w:p>
    <w:p>
      <w:r>
        <w:t>IT: GE_GERICHTE A/1442/2018 del 13 maggio 2019</w:t>
      </w:r>
    </w:p>
    <w:p>
      <w:pPr>
        <w:pStyle w:val="Heading2"/>
      </w:pPr>
      <w:r>
        <w:t>Regeste</w:t>
      </w:r>
    </w:p>
    <w:p>
      <w:r>
        <w:t>OBJET DU LITIGE ; MOTIVATION ; MOTIF DU RECOURS ; CHOSE JUGÉE | OPGA.10.al1</w:t>
      </w:r>
    </w:p>
    <w:p>
      <w:pPr>
        <w:pStyle w:val="Heading2"/>
      </w:pPr>
      <w:r>
        <w:t>Erwägungen</w:t>
      </w:r>
    </w:p>
    <w:p>
      <w:r>
        <w:rPr>
          <w:b/>
        </w:rPr>
        <w:t>E. 1</w:t>
      </w:r>
    </w:p>
    <w:p>
      <w:r>
        <w:t>Est puni, à moins qu'il ne s'agisse d'un crime ou d'un délit frappé d'une peine plus élevée par le code pénal, d'une peine pécuniaire n'excédant pas 180 jours-amende : a. ... b. ... c. ... d. celui qui manque à son obligation de communiquer (art. 31, al. 1, LPGA) ». Selon l'art. 31 al. 1 LPGA, « L'ayant droit, ses proches ou les tiers auxquels une prestation est versée sont tenus de communiquer à l'assureur ou, selon le cas, à l'organe compétent toute modification importante des circonstances déterminantes pour l'octroi d'une prestation ». L'art. 24 OPC-AVS/AI règle l'obligation de renseigner comme suit : «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 L'art. 25 al. 1 let d OPC-AVS/AI précise enfin que «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 b.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2012 ; ATAS/3/2012 du 10 janvier 2012).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Conformément à l'art. 12 du Code pénal suisse du 21 décembre 1937 (CP - RS 311.0),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206 ). Pour que le délai de prescription plus long prévu par le droit pénal s'applique, il n'est pas nécessaire que l'auteur de l'infraction ait été condamné (ATF 118 V 193 consid. 4a; 113 V 256 consid. 4a; voir également ATF 122 III 225 consid. 4). c. En matière de prestations complémentaires, ce sont principalement les art. 31 LPC - également applicable en matière de prestations complémentaires cantonales conformément à l'art. 1A LPCC - et 146 CP - réprimant, respectivement, l'obtention indue d'une prestation prévue par la LPC par des indications fausses ou incomplètes, et l'escroquerie - qui entrent en considération lorsqu'il y a lieu de déterminer si le délai pénal doit trouver application. Selon l'art. 97 al. 1 CP,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d. Il s'agit en l'occurrence de déterminer si l'intéressée a ou non respecté son obligation de communiquer au SPC toute modification importante des circonstances déterminantes pour l'octroi d'une prestation, au sens des art. 31 let d LPC et 31 LPGA, étant rappelé que le SPC ne reproche pas à l'intéressée d'avoir commis une escroquerie. L'art. 31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 Michel VALTÉRIO, Commentaire de la LPC, 2015, n. 3 ad art. 31).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 131 IV 83 consid. 2.1.3 p. 88).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 ATAS/151/2017 du 28 février 2017 consid. 5 ; Ueli KIESER, op. cit., n. 47 ss ad art. 25), avec la faute réalisant l'élément constitutif subjectif d'une infraction pénale à l'origine du versement indu. e.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19.    En l'espèce, l'intéressée ne nie pas avoir omis de déclarer au SPC avant le 3 février 2017, date à laquelle elle lui a transmis, sur demande, les documents y relatifs, que la rente de sécurité sociale étrangère avait subi des variations, qu'elle percevait une rente complémentaire de la sécurité sociale espagnole et qu'elle détenait un compte bancaire en Espagne. Elle allègue toutefois n'avoir commis aucune infraction pénale, précisant que tant la rente de la sécurité sociale espagnole et le complément de pension que le compte bancaire, ont toujours été mentionnés dans ses déclarations fiscales. Or, dans un arrêt du 6 février 2018 ( ATAS/92/2018 ), la chambre de céans a jugé que le fait d'avoir renseigné l'autorité fiscale cantonale ne dispensait pas de renseigner le SPC. On ne peut que reprocher à l'intéressée de n'avoir pas réagi aux communications importantes lui rappelant chaque année son obligation de renseigner, et l'invitant à vérifier attentivement les montants figurant dans les plans de calcul. L'importance des montants correspondant aux variations de la rente, au complément de pension et au compte bancaire, est en l'occurrence telle que l'intéressée ne pouvait manquer de se rendre compte, durant toutes les années considérées, que le SPC omettait sans raison d'intégrer les nouveaux montants à son revenu déterminant pour calculer son droit aux prestations complémentaires (art 25 al. 1 let d OPC-AVS/AI). Il y a par conséquent lieu de retenir que l'intéressée s'est rendue coupable d'une infraction à l'art. 31 let d LPC, en ne réagissant pas aux décisions à elle notifiées en décembre de chaque année et en percevant ainsi des prestations complémentaires établies sur la base d'un état des revenus et du patrimoine inexact. Elle a ainsi maintenu le SPC dans l'erreur et a violé l'art. 31 let d LPC à tout le moins par dol éventuel, de sorte que le délai de prescription de sept ans trouve application. Il s'ensuit que le SPC était en droit d'appliquer un délai de péremption plus long que celui de cinq ans, et partant de requérir, par décision du 20 juin 2017, la restitution des prestations depuis le 1 er juin 2010. 20.    Il s'agit à ce stade de déterminer si le SPC était en droit de considérer que des prestations complémentaires avaient été versées à tort à l'intéressée. a. L'intéressée nie recevoir une rente complémentaire de la sécurité sociale étrangère et explique qu'il s'agit en réalité d'une « aide extraordinaire » versée par le gouvernement de la Galice une fois par année. Force est toutefois de constater que cette « aide extraordinaire » représente un complément à la pension principale et qu'elle constitue, quelle que soit son appellation, un revenu dont le SPC doit tenir compte pour calculer le montant des prestations (art. 11 LPC ; art. 5 LPCC ; ch. 3451.01 DPC). De même en est-il des variations subies par la rente de sécurité sociale dues au cours du change. Aussi faibles soient-elles, rien ne justifierait qu'elles ne soient pas prises en considération. Enfin, l'intéressée ne conteste pas avoir reçu les montants retenus par le SPC. b. Le SPC n'a plus tenu compte d'un loyer depuis le 1 er décembre 2014, date à laquelle l'intéressée a emménagé chez sa petite-fille, ce jusqu'au 31 mai 2018. L'intéressée indique avoir toujours participé au coût du ménage, ce qui représentait sa contribution aux frais de logement. Force est toutefois de constater qu'elle n'est pas en mesure de démontrer, au degré de vraisemblance requis par la jurisprudence, qu'elle payait régulièrement certains frais à sa petite-fille et à l'époux de celle-ci durant la période demeurant litigieuse. Elle ne précise du reste pas le montant de ses versements. Depuis le 1 er juin 2018 en revanche, elle verse effectivement un montant de CHF 650.-. C'est dès lors à bon droit que le SPC n'a tenu compte d'aucune participation au loyer dès le 1 er juin 2017. 21.    Le recours est, au vu de ce qui précède, rejeté. 22.    Il y a enfin lieu de rappeler que la restitution ne peut être exigée lorsque l'intéressé était de bonne foi et qu'elle le mettrait dans une situation difficile (art. 25 al. 1 LPGA). La chambre de céans rappelle que la question de la bonne foi de l'intéressée, de même que celle de la situation financière difficile dans laquelle elle se trouverait si elle devait rembourser les montants perçus à tort, doit faire l'objet d'une demande de remise. Il ne lui appartient en effet pas de se prononcer, au stade de la décision de restitution, sur la bonne foi de l'intéressée, ce critère ne pouvant être examiné, le cas échéant, que dans un deuxième temps, dans le cadre de la procédure de remise, qui fait l'objet d'une procédure distincte de la restitution (arrêts du Tribunal fédéral 8C_602/2007 du 13 décembre 2007; 264/05 du 25 janvier 2006 consid. 2.1; ATF 132 V 42 consid. 1.2).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