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A/1439/2016 vom 9. Januar 2018</w:t>
      </w:r>
    </w:p>
    <w:p>
      <w:r>
        <w:t>GE Cour de justice, 2018-01-09, FR</w:t>
      </w:r>
    </w:p>
    <w:p>
      <w:r>
        <w:rPr>
          <w:b/>
        </w:rPr>
        <w:t xml:space="preserve">Quelle: </w:t>
      </w:r>
      <w:r>
        <w:t>https://mcp.opencaselaw.ch/entscheid/ge_gerichte_A_1439_2016</w:t>
      </w:r>
    </w:p>
    <w:p>
      <w:r>
        <w:t>FR: GE_GERICHTE A/1439/2016 du 9 janvier 2018</w:t>
      </w:r>
    </w:p>
    <w:p>
      <w:r>
        <w:t>IT: GE_GERICHTE A/1439/2016 del 9 gennaio 2018</w:t>
      </w:r>
    </w:p>
    <w:p>
      <w:pPr>
        <w:pStyle w:val="Heading2"/>
      </w:pPr>
      <w:r>
        <w:t>Regeste</w:t>
      </w:r>
    </w:p>
    <w:p>
      <w:r>
        <w:t>DROIT PUBLIC DES CONSTRUCTIONS ; CONSTRUCTION ET INSTALLATION ; PERMIS DE CONSTRUIRE ; AMENDE ; REPRÉSENTATION ; NOTIFICATION DE LA DÉCISION ; MANDATAIRE ; ARCHITECTE ; DEVOIR PROFESSIONNEL ; POUVOIR D'APPRÉCIATION ; LÉGALITÉ ; PROPORTIONNALITÉ ; PRINCIPE DE LA BONNE FOI ; ÉGALITÉ DE TRAITEMENT | L'amende de CHF 10'000.- infligée au recourant, en sa qualité de mandataire professionnellement qualifié (MPQ), pour inexécution d'une décision ordonnant la mise en conformité des éléments d'une construction ne respectant pas l'autorisation de construire initiale dans le délai imparti, est justifiée in casu, tant dans son principe que dans son montant. En sa qualité de MPQ, le recourant demeure responsable de l'exécution conforme de l'autorisation de construire initiale accordée et de la régularisation de ladite construction, faute d'avoir informé en temps voulu le département de l'extinction de son mandat. La dégradation des relations contractuelles avec sa mandante, relevant du droit privé, ne saurait être opposée au département, qui n'en avait au demeurant pas été informé. La réalisation de la vente à terme de l'immeuble concerné après l'échéance du délai imparti pour la régularisation de la construction ne saurait davantage permettre de tels manquements à ses obligations légales. Recours rejeté. | LCI.6; LCI.129; LCI.130; LPA.1; LPAI.6; Cst.9; Cst.5.al3; Cst.8.al1; LCI.137; LPG.1; Cst.36.al3; CP.47</w:t>
      </w:r>
    </w:p>
    <w:p>
      <w:pPr>
        <w:pStyle w:val="Heading2"/>
      </w:pPr>
      <w:r>
        <w:t>Erwägungen</w:t>
      </w:r>
    </w:p>
    <w:p>
      <w:r>
        <w:rPr>
          <w:b/>
        </w:rPr>
        <w:t>E. 21</w:t>
      </w:r>
    </w:p>
    <w:p>
      <w:r>
        <w:t>décembre 1937 (CP – RS 311.0) s'appliquent à titre de droit cantonal supplétif. On doit cependant réserver celles qui concernent exclusivement le juge pénal ( ATA/824/2015 précité consid. 14b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ATA/824/2015 précité consid. 14c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ATA/558/2013 du 27 août 2013 consid. 18 ; ATA/804/2012 du 27 novembre 2012 ; ATA/488/2011 du 27 juillet 2011 ; ATA/537/2009 du 27 octobre 2009). e. En l'occurrence, il résulte des considérations qui précèdent que les manquements reprochés au recourant sont effectivement réalisés, constituant une faute, ne serait-ce que par négligence, passible d'une amende. Celle-ci est donc fondée dans son principe. À cet égard, les premiers juges ont retenu à bon droit qu'au vu de sa position, de son rôle, du déroulement des faits et de ses connaissances professionnelles, le recourant ne pouvait ignorer la nature et la portée de son obligation, découlant des règles essentielles régissant sa profession. En adoptant un comportement à tout le moins passif, le recourant n'a pas satisfait à ses obligations légales vis-à-vis de l'intimé. La faute du recourant n'est pas anodine. Comme il le relève lui-même, il ignorait les pourparlers quant au rachat de l'immeuble concerné par une société tierce, dont la concrétisation n'a finalement eu d'effet qu'après l'échéance du délai de remise en état qui lui avait été imparti. Ces circonstances, qu'il en ait eu connaissance ou non, n'avaient cependant aucune influence sur sa propre situation du mois d'avril au mois de novembre 2015, alors même que, selon ses allégations, il estimait que son mandat était terminé. La complexité de la situation invoquée n'avait dès lors aucune incidence à son endroit. Une première amende d'un montant de CHF 10'000.- lui ayant été infligée le 5 novembre 2015, en raison de manquements incontestables et incontestés à la LCI, il faut considérer la récidive comme avérée. Finalement, le recourant ne relève pas non plus dans le cadre de son recours que le paiement de l'amende infligée le 6 avril 2016 l'exposerait à une situation difficile. Au vu de ce qui précède, l'intimé n'a pas excédé ni abusé de son pouvoir d'appréciation en infligeant au recourant une seconde amende de CHF 10'000.-, soit d'un montant identique à la première, alors que le montant maximal prévu par la loi s'élève à CHF 150'000.-. 10) Mal fondé, le recours est rejeté.![endif]&gt;![if&gt; 11) Vu l’issue du litige, un émolument de CHF 700.-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