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A/1434/2020 vom 7. Juli 2020</w:t>
      </w:r>
    </w:p>
    <w:p>
      <w:r>
        <w:t>GE Cour de justice, 2020-07-07, FR</w:t>
      </w:r>
    </w:p>
    <w:p>
      <w:r>
        <w:rPr>
          <w:b/>
        </w:rPr>
        <w:t xml:space="preserve">Quelle: </w:t>
      </w:r>
      <w:r>
        <w:t>https://mcp.opencaselaw.ch/entscheid/ge_gerichte_A_1434_2020</w:t>
      </w:r>
    </w:p>
    <w:p>
      <w:r>
        <w:t>FR: GE_GERICHTE A/1434/2020 du 7 juillet 2020</w:t>
      </w:r>
    </w:p>
    <w:p>
      <w:r>
        <w:t>IT: GE_GERICHTE A/1434/2020 del 7 luglio 2020</w:t>
      </w:r>
    </w:p>
    <w:p>
      <w:pPr>
        <w:pStyle w:val="Heading2"/>
      </w:pPr>
      <w:r>
        <w:t>Erwägungen</w:t>
      </w:r>
    </w:p>
    <w:p>
      <w:r>
        <w:rPr>
          <w:b/>
        </w:rPr>
        <w:t>E. 30</w:t>
      </w:r>
    </w:p>
    <w:p>
      <w:r>
        <w:t>% 1.05 1.05 1.25 D1 Qualification du soumissionnaire D.1.1 Référence 1 D.1.2 Référence 2 20 % 10% 10% 0.6 3 3 0.6 0.8 3 5 3 D2 Personne clé : personne de référence D.2.1 Qualification de la personne -clé D.2.2 Expérience de la personne-clé 10 % 5% 5% 0.35 0 3 0.45 0 4 3 5 Note totale pondérée avec les critères A, B et C Rang 4.4 1 3.06 3.26 3 Mal fondé, le recours sera par conséquent rejeté. Le prononcé du présent arrêt rend sans objet la requête en octroi de l'effet suspensif. 6) Au vu de l'issue du litige, un émolument de CHF 1'000.- sera prélevé. Il sera exceptionnellement mis à la charge de AIG à l'instar d'une indemnité de procédure de CHF 1'000.- à l'adjudicataire, partie à la procédure qui y a conclu et a pris un conseil. En effet, bien qu'obtenant gain de cause, AIG a commis des erreurs dans le tableau multicritères joint à la décision adressée à la recourante lesquelles étaient de nature à faire suspecter d'autres erreurs et à créer la confusion. En conséquence et à titre exceptionnel, une indemnité de procédure de CHF 500.- sera allouée à Adecco, à charge d'AIG.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