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A/1431/2007 vom 16. Juni 2004</w:t>
      </w:r>
    </w:p>
    <w:p>
      <w:r>
        <w:t>GE Cour de justice, 2004-06-16, FR</w:t>
      </w:r>
    </w:p>
    <w:p>
      <w:r>
        <w:rPr>
          <w:b/>
        </w:rPr>
        <w:t xml:space="preserve">Quelle: </w:t>
      </w:r>
      <w:r>
        <w:t>https://mcp.opencaselaw.ch/entscheid/ge_gerichte_A_1431_2007</w:t>
      </w:r>
    </w:p>
    <w:p>
      <w:r>
        <w:t>FR: GE_GERICHTE A/1431/2007 du 16 juin 2004</w:t>
      </w:r>
    </w:p>
    <w:p>
      <w:r>
        <w:t>IT: GE_GERICHTE A/1431/2007 del 16 giugno 2004</w:t>
      </w:r>
    </w:p>
    <w:p>
      <w:pPr>
        <w:pStyle w:val="Heading2"/>
      </w:pPr>
      <w:r>
        <w:t>Erwägungen</w:t>
      </w:r>
    </w:p>
    <w:p>
      <w:r>
        <w:rPr>
          <w:b/>
        </w:rPr>
        <w:t>E. 2</w:t>
      </w:r>
    </w:p>
    <w:p>
      <w:r>
        <w:t>La décision sur opposition a été rendue après l'entrée en vigueur de la LPGA, applicable en matière de prestations complémentaires fédérales, mais elle concerne la restitution de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266sv.). En revanche, selon UELI KIESER (ATSG-Kommentar: Kommentar zum Bundesgesetz über den Allgemeinen Teil des Sozialversicherungsrechts vom 6.Oktober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a) En matière de prestations complémentaires fédérales, les décisions sur opposition sont sujettes à recours dans un délai de 30 jours (art. 56 al. 1 et 60 al. 1 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(art. 9 LPCF, art. 38 al. 4, 56 al. 1 et 61 al. 1 LPGA; art. 43 LPCC). L'objet du présent litige se limite à la question de la remise de l'obligation de restituer à l'OCPA la somme de 97'037 fr. La décision sur opposition du 21 juillet 2006 fixant le principe et le montant de la restitution est en effet entrée en force, faute de recours. Selon l'art. 27 OPC-AVS-AI, les prestations complémentaires indûment touchées doivent être restituées par le bénéficiaire ou par ses héritiers. Les prescriptions de la loi fédérale du 20 décembre 1946 sur l’assurance-vieillesse et survivants ( LAVS) sont applicables par analogie à la restitution de telles prestations et à la libération de l'obligation de restituer. Une disposition identique figure à l'art. 24 LPCC.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w:t>
      </w:r>
    </w:p>
    <w:p>
      <w:r>
        <w:rPr>
          <w:b/>
        </w:rPr>
        <w:t>E. 6</w:t>
      </w:r>
    </w:p>
    <w:p>
      <w:r>
        <w:t>En l'espèce, l'OCPA a refusé d'accorder la remise à l'intéressé, au motif que les conditions de bonne foi et de charge trop lourde n'étaient pas réalisées. Il lui reproche de ne lui avoir communiqué copie de la décision LAA du 14 novembre 2005 qu'en mai 2006, soit six mois plus tard. Selon l'art. 24 OPC - AVS-AI en effet,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 consid. 3b, 118 V 306 , consid. 2a). L'ignorance par le bénéficiaire du fait qu'il n'avait pas droit aux prestations ne suffit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w:t>
      </w:r>
    </w:p>
    <w:p>
      <w:r>
        <w:rPr>
          <w:b/>
        </w:rPr>
        <w:t>E. 7</w:t>
      </w:r>
    </w:p>
    <w:p>
      <w:r>
        <w:t>En l'espèce, l'intéressé ne conteste pas avoir attendu six mois avant d'informer l'OCPA de ce que le droit à une rente LAA lui avait été reconnu et qu'un rétroactif de 93'520 fr. lui avait été versé par ALLIANZ. Il considère cependant avoir été de bonne foi, dans la mesure où il lui avait fallu d'abord s'organiser financièrement et prendre le temps de s'informer sur ses droits et obligations.</w:t>
      </w:r>
    </w:p>
    <w:p>
      <w:r>
        <w:rPr>
          <w:b/>
        </w:rPr>
        <w:t>E. 8</w:t>
      </w:r>
    </w:p>
    <w:p>
      <w:r>
        <w:t>Le Tribunal de céans constate que l'intéressé n'a pas failli à son obligation de renseigner, puisqu'il a, semble-t-il, adressé à l'OCPA copie de la décision LAA. Il y a en revanche lieu de déterminer si le faire après six mois seulement est tardif, compte tenu de l'attention que l'on peut raisonnablement exiger d'une personne capable de discernement placée dans une situation identique et dans les mêmes circonstances. Or, force est de constater qu'il ne pouvait manquer de comprendre que la réception d'une somme aussi importante que l'était le rétroactif de ALLIANZ allait immanquablement avoir de sérieuses incidences sur le montant des prestations complémentaires dont il était bénéficiaire. Il a ainsi commis une négligence grave, ce qui suffit à exclure la bonne foi. Aussi la décision lui refusant la remise doit-elle être confirmée, étant superfétatoire d'examiner la condition de la charge trop lourde.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