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A/1429/2003 vom 1. Juni 2004</w:t>
      </w:r>
    </w:p>
    <w:p>
      <w:r>
        <w:t>GE Cour de justice, 2004-06-01, FR</w:t>
      </w:r>
    </w:p>
    <w:p>
      <w:r>
        <w:rPr>
          <w:b/>
        </w:rPr>
        <w:t xml:space="preserve">Quelle: </w:t>
      </w:r>
      <w:r>
        <w:t>https://mcp.opencaselaw.ch/entscheid/ge_gerichte_A_1429_2003</w:t>
      </w:r>
    </w:p>
    <w:p>
      <w:r>
        <w:t>FR: GE_GERICHTE A/1429/2003 du 1 juin 2004</w:t>
      </w:r>
    </w:p>
    <w:p>
      <w:r>
        <w:t>IT: GE_GERICHTE A/1429/2003 del 1 giugno 2004</w:t>
      </w:r>
    </w:p>
    <w:p>
      <w:pPr>
        <w:pStyle w:val="Heading2"/>
      </w:pPr>
      <w:r>
        <w:t>Erwägungen</w:t>
      </w:r>
    </w:p>
    <w:p>
      <w:r>
        <w:rPr>
          <w:b/>
        </w:rPr>
        <w:t>E. 2</w:t>
      </w:r>
    </w:p>
    <w:p>
      <w:r>
        <w:t>Conformément à l’article 3 alinéa 3 des dispositions transitoires, les causes introduites avant l’entrée en vigueur de la loi et pendantes devant la Commission cantonale de recours ont été transmises d’office au Tribunal cantonal des assurances sociales, statuant en instance unique sur les contestations en matière d’AVS-AI (cf. article 56 V LOJ). Sa compétence pour juger du cas d’espèce est ainsi établie.</w:t>
      </w:r>
    </w:p>
    <w:p>
      <w:r>
        <w:rPr>
          <w:b/>
        </w:rPr>
        <w:t>E. 3</w:t>
      </w:r>
    </w:p>
    <w:p>
      <w:r>
        <w:t>Le recours interjeté en temps utile auprès de la Commission cantonale de recours AVS-AI est recevable (articles 84 LAVS et 69 LAI).</w:t>
      </w:r>
    </w:p>
    <w:p>
      <w:r>
        <w:rPr>
          <w:b/>
        </w:rPr>
        <w:t>E. 4</w:t>
      </w:r>
    </w:p>
    <w:p>
      <w:r>
        <w:t>La loi fédérale sur la partie générale du droit des assurances sociales du 6 octobre 2000 (LPGA) est entrée en vigueur le 1 er janvier 2003 entraînant la modification de nombreuses dispositions légales dans le domaine de l’AVS-AI. Elle est applicable au cas d’espèce, la décision litigieuse datant du 25 mars 2003.</w:t>
      </w:r>
    </w:p>
    <w:p>
      <w:r>
        <w:rPr>
          <w:b/>
        </w:rPr>
        <w:t>E. 5</w:t>
      </w:r>
    </w:p>
    <w:p>
      <w:r>
        <w:t>Le litige porte uniquement sur la question de déterminer si l’état de santé de la recourante a subi une aggravation depuis août 2001, date à laquelle une première décision de refus de prestations AI, entrée en force, avait été rendue par l’OCAI (art. 17 LPGA).</w:t>
      </w:r>
    </w:p>
    <w:p>
      <w:r>
        <w:rPr>
          <w:b/>
        </w:rPr>
        <w:t>E. 6</w:t>
      </w:r>
    </w:p>
    <w:p>
      <w:r>
        <w:t>L’article 4 alinéa 1 LAI définit l’invalidité comme étant la diminution de la capacité de gain, présumée permanente ou de longue durée, qui résulte d’une atteinte à la santé physique, ou mentale provenant d’une infirmité congénitale, d’une maladie ou d’un accident. Pour qu’une invalidité soit reconnue, il est nécessaire dans chaque cas qu’un diagnostic médical pertinent soit posé par un spécialiste et que soit mise en évidence une diminution importante de la capacité de travail (ATF 127 V 299 ).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 115 V 134 , 114 V 314 , 105 V 158 ). Parmi les atteintes à la santé psychique, qui peuvent, comme les atteintes physiques, provoquer une invalidité au sens de l'art. 4 al. 1 LAI, on doit mentionner - à part les maladies mentales proprement dites - les anomalies psychiques qui équivalent à des maladies. On ne considère pas comme des conséquences d'un état psychique maladif - donc pas comme des affections à prendre en charge par l'assurance-invalidité - les diminutions de la capacité de gain que l'assuré pourrait empêcher en faisant preuve de bonne volonté ;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(VSI 2000 p. 153). Les causes de l'atteinte à la santé psychique ne jouent pas de rôle quand il s'agit de décider si celle-ci revêt ou non un caractère invalidant. Ce qui est décisif, c'est de savoir si une atteinte à la santé psychique, indépendamment de son origine, entraîne une incapacité de travail et de gain (ATFA non publié I 68/01 du 27 mars 2001). En ce qui concerne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 VSI 2000, p.154).</w:t>
      </w:r>
    </w:p>
    <w:p>
      <w:r>
        <w:rPr>
          <w:b/>
        </w:rPr>
        <w:t>E. 7</w:t>
      </w:r>
    </w:p>
    <w:p>
      <w:r>
        <w:t>En l’espèce, le diagnostic de fibromyalgie, avec 18 points douloureux sur 18, a été posé par le Docteur D__________, dans un rapport adressé au Docteur C__________ le 28 janvier 2002. Il s’agit dès lors de déterminer si les critères retenus par le TFA pour admettre une invalidité au sens de la LAI sont ou non réalisés. Selon la jurisprudence, des troubles somatoformes douloureux peuvent, dans certaines circonstances, provoquer une incapacité de travail (ATF 120 V 119 consid. 2c/cc ; RSAS 1997 p. 75; RAMA 1996 N° U 256 p. 217 ss consid. 5 et 6). De tels troubles entrent dans la catégorie des affections psychiques, pour lesquelles une expertise psychiatrique est en principe nécessaire quand il s’agit de se prononcer sur l’incapacité de travail qu’ils sont susceptibles d’entraîner (VSI 2000 p. 160 consid. 4b). Se fondant sur la doctrine médicale récente, MOSIMANN a décrit en détail la tâche de l’expert médical, lorsque celui-ci doit se prononcer sur le caractère invalidant de troubles somatoformes. Selon cet auteur, sur le plan psychiatrique, l’expert doit poser un diagnostic dans le cadre d’une classification reconnue et se prononcer sur le degré de gravité de l’afffection. Il doit évaluer le caractère exigible de la reprise par l’assuré d’une activité lucrative. Ce pronostic tiendra compte de divers critères, tels une structure de la personnalité présentant des traits prémorbides, une comorbidité psychiatrique, des affections corporelles chroniques, une perte d’intégration sociale, un éventuel profit tiré de la maladie, le caractère chronique de celle-ci sans rémission durable, une durée de plusieurs années de la maladie avec des symptômes stables ou en évolution, l’échec de traitements conformes aux règles de l’art. Le cumul des critères précités fonde un pronostic défavorable (ATFA du 19 janvier 2000 en la cause K. réf. I 554/98, consid. 2c). Enfin, l’expert doit s’exprimer sur le cadre psychosocial de la personne examinée. Au demeurant, la recommandation de refus d’une rente doit également reposer sur différents critères. Au nombre de ceux-ci figurent la divergence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(Hans-Jakob MOSIMANN, Somatoforme Störungen, Gerichte und (psychiatrische) Gutachten, in : Revue suisse des assurances sociales et de la prévoyance professionnelle (RSAS) 1999, p. 1ss et p. 105ss ; VSI 2000 p. 155 consid. 2c).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(ATFA non publié I 554/98 du 19 janvier 2000 ; ATF 118 V 290 consid. 1b, 112 V 32 ss et les réf. citées).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297ss; MORGER, Unfallmedizinische Begutachtung in der SUVA, in RSAS 32/1988 p. 332ss). En ce qui concerne la valeur probante d’un rapport médical, ce qui est déterminant c’est que les points litigieux importants aient fait l’objet d’une étude fouillée, que le rapport se fonde sur des examens complets, qu’il prenne en considération les plaintes exprimées, qu’il ait été établi en pleine connaissance du dossier (anamnèse), que la description du contexte médical soit claire et enfin que les conclusions de l’expert soient bien motivées (ATF 122 V 160 consid. 1c et réf. ; ATFA non publié du 19 janvier 2000). A ce titre, MEINE souligne que l’expertise doit être fondée sur une documentation complète et des diagnostics précis, être concluante grâce à une discussion convaincante de la causalité et apporter des réponses exhaustives et sans équivoque aux questions posées (MEINE, L’expertise médicale en Suisse : satisfait-elle aux exigences de qualité actuelles ?, in Schweizeriches Versicherungszeitschrift, 67/1999, p. 37ss). Dans le même sens, BUEHLER expose qu’une expertise doit être complète quant aux faits retenus, à ses conclusions et aux réponses aux questions posées. Elle doit être compréhensible, concluante et ne pas trancher des points de droit (BUEHLER, Erwartungen des Richters an der Sachverständigen, in PJA 1999 p. 567ss. ; ATFA non publié I 554/98 du 19 janvier 2000). A partir du moment où il est établi qu’il y a atteinte psychique ayant valeur de maladie, il est décisif de savoir si et dans quelle mesure l’assuré peut, malgré son infirmité mentale, mettre à profit sa capacité de travail et de gain en exerçant l’activité qui peut raisonnablement être exigé dans son cas (ATFA non publié I 3767/02 du 28 mars 2003 consid. 3.1 ; ATF 102 V 165 ; VSI 2001 p. 224 consid. 2b ; Plaidoyer 2002 N° 4 p. 64, consid. 2b). Si les avis des experts ne reposent que sur des hypothèses (le fait que l’environnement change, qu’elle ait un entourage affectif de meilleure qualité, etc.), et non sur des constatations objectives, sans que les médecins ne se prononcent concrètement sur une diminution de la capacité de travail en raison de problèmes d’ordre psychique leur avis ne peut emporter la conviction.</w:t>
      </w:r>
    </w:p>
    <w:p>
      <w:r>
        <w:rPr>
          <w:b/>
        </w:rPr>
        <w:t>E. 8</w:t>
      </w:r>
    </w:p>
    <w:p>
      <w:r>
        <w:t>En l’espèce, le Docteur C__________ a relevé chez la patiente outre la fibromyalgie, des troubles du sommeil et l’asthénie d’origine indéterminée, ce qui ne justifie de loin pas le diagnostic de trouble dépressif récurrent. Le Docteur E__________ n’évoque de même que de légers symptômes dépressifs et ajoute que cette réaction dépressive est sans incidence sur la capacité de travail. Seul le Docteur G__________ parle de trouble dépressif récurrent depuis novembre 2001, alors que la patiente ne le consultait pas encore. Selon ce médecin, l’aggravation survenue en novembre 2001 serait notamment due à l’état dépressif et il cite l’apparition de tristesse et découragement. Le trouble dépressif récurrent qu’il a relevé n’apparaît dès lors quoi qu’il en soit, pas avoir le degré d’intensité déterminant au vu de la jurisprudence du TFA. Parmi les critères déterminants pour apprécier le caractère invalidant de troubles somatoformes douloureux ou fibromialgie, celui de chronicité du trouble doit être apprécié. En l’occurrence, selon les Docteurs C__________ et G__________, la recourante souffre de fibromyalgie depuis 1993. Force est cependant de constater que le diagnostic n’a été posé qu’en 2002, par les Docteurs D__________ et C__________. Or, le Docteur D__________ n’a été consulté qu’une fois et le Docteur C__________ ne suit l’assurée que depuis peu. En outre, les deux médecins étaient d’avis qu’une reprise d’une activité professionnelle à 50% d’ici fin février 2002 serait envisageable. Ils émettaient ainsi un pronostic plutôt favorable. A cela il convient d’ajouter que l’assurée ne présente pas d’idées suicidaires, qu’il n’existe pas chez elle de symptômes florides de la ligné psychotique et qu’il ne peut être retenu à son endroit ni un trouble de la personnalité rigide, ni un trouble hypochondriaque. Par ailleurs, l’anamnèse psycho-sociale décrite par le Docteur E__________ ne fait pas état d’une perte d’intégration. L’environnement psycho-social paraît plutôt positif. Il s’ensuit que le syndrome douloureux somatoforme persistant ou fibromyalgie dont la recourante est affectée ne revêt pas un degré de gravité suffisant permettant d’admettre un caractère invalidant (cf. ATF non publié I 273/03 du 4 septembre 2003). Il n’y a ainsi pas eu d’aggravation au sens de l’art. 17 LPGA. La décision de refus de l’OCAI doit dès lors être confirmée. Il reste à rappeler à l’assurée qu’il lui est loisible de déposer une nouvelle demande de prestations AI au cas où son état de santé subirait une aggravation depuis juin 2003, date à laquelle la décision litigieuse a été rendue.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