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A/1424/2024 vom 23. September 2025</w:t>
      </w:r>
    </w:p>
    <w:p>
      <w:r>
        <w:t>GE Cour de justice, 2025-09-23, FR</w:t>
      </w:r>
    </w:p>
    <w:p>
      <w:r>
        <w:rPr>
          <w:b/>
        </w:rPr>
        <w:t xml:space="preserve">Quelle: </w:t>
      </w:r>
      <w:r>
        <w:t>https://mcp.opencaselaw.ch/entscheid/ge_gerichte_A_1424_2024</w:t>
      </w:r>
    </w:p>
    <w:p>
      <w:r>
        <w:t>FR: GE_GERICHTE A/1424/2024 du 23 septembre 2025</w:t>
      </w:r>
    </w:p>
    <w:p>
      <w:r>
        <w:t>IT: GE_GERICHTE A/1424/2024 del 23 settembre 2025</w:t>
      </w:r>
    </w:p>
    <w:p>
      <w:pPr>
        <w:pStyle w:val="Heading2"/>
      </w:pPr>
      <w:r>
        <w:t>Erwägungen</w:t>
      </w:r>
    </w:p>
    <w:p>
      <w:r>
        <w:rPr>
          <w:b/>
        </w:rPr>
        <w:t>E. 2</w:t>
      </w:r>
    </w:p>
    <w:p>
      <w:r>
        <w:t>Bien qu'il n'y conclue pas expressément, le recourant propose son audition à titre de moyen de preuve concernant certains de ses allégués de fait.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w:t>
      </w:r>
    </w:p>
    <w:p>
      <w:r>
        <w:rPr>
          <w:b/>
        </w:rPr>
        <w:t>E. 2.2</w:t>
      </w:r>
    </w:p>
    <w:p>
      <w:r>
        <w:t>En l'espèce, le recourant a eu l’occasion de faire valoir son point de vue tout au long de la procédure devant l’OCPM, le TAPI, puis la chambre de céans. Il a, en outre, pu produire toutes les pièces qu’il estimait utiles. Il ne motive aucunement sa demande d’audition et n’explique pas en quoi celle-ci serait nécessaire à la solution du litige. L'audition demandée sera par conséquent refusée.</w:t>
      </w:r>
    </w:p>
    <w:p>
      <w:r>
        <w:rPr>
          <w:b/>
        </w:rPr>
        <w:t>E. 3</w:t>
      </w:r>
    </w:p>
    <w:p>
      <w:r>
        <w:t>Le litige porte sur la décision de l'OCPM, confirmée par le TAPI, de refuser de transmettre au SEM le dossier du recourant avec un préavis favorable et prononçant son renvoi de Suisse.</w:t>
      </w:r>
    </w:p>
    <w:p>
      <w:r>
        <w:rPr>
          <w:b/>
        </w:rPr>
        <w:t>E. 3.1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w:t>
      </w:r>
    </w:p>
    <w:p>
      <w:r>
        <w:rPr>
          <w:b/>
        </w:rPr>
        <w:t>E. 3.2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 er janvier 2025, ch. 5.6.10).</w:t>
      </w:r>
    </w:p>
    <w:p>
      <w:r>
        <w:rPr>
          <w:b/>
        </w:rPr>
        <w:t>E. 3.3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3.4</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3.5</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3.6</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ATA/1093/2024 du 17 septembre 2024 consid. 3.4).</w:t>
      </w:r>
    </w:p>
    <w:p>
      <w:r>
        <w:rPr>
          <w:b/>
        </w:rPr>
        <w:t>E. 3.7</w:t>
      </w:r>
    </w:p>
    <w:p>
      <w:r>
        <w:t>En l’espèce, le recourant a, lors de son audition par la police en janvier 2013, dit être venu en Suisse pour la première fois en 2005, en être reparti avant d'y revenir à plusieurs reprises pour y séjourner et y travailler sans autorisation ; il a aussi, devant le TAPI, admis avoir purgé en Italie une condamnation à trois ans de peine privative de liberté. Il semble affirmer désormais vivre en Suisse de manière continue depuis 2005. Le TAPI a retenu à juste titre que le recourant ne parvenait pas à démontrer à satisfaction de droit un séjour en Suisse de longue durée, qu'il était vraisemblable qu'il ait quitté la Suisse en 2017 et n'y soit revenu qu'en août 2022 à la faveur d'une possible libération conditionnelle, et que s’agissant de son séjour antérieur au mois de mars 2017, aucun élément du dossier ne permettait de retenir qu'il aurait vécu de manière continue en Suisse durant dix ans, notamment au vu de ses déclarations précitées de 2013. Ce raisonnement ne prête pas le flanc à la critique, les pièces fournies par le recourant, notamment quant à ses périodes de travail, n'allant pas dans un autre sens. Quoi qu'il en soit, la durée de son séjour en Suisse doit de toute façon être fortement relativisée du fait qu’elle s’est intégralement déroulée dans l’illégalité, ou au bénéfice d'une tolérance des autorités lors des procédures d'asile ainsi que depuis le dépôt de la demande. Par ailleurs, la condamnation du recourant en Italie, qu'elle concerne une peine de trois ans pour rixe ou, à plus forte raison, de sept ans pour tentative de meurtre, ne témoigne pas d'un bon respect de l'ordre social, quand bien même l'infraction n'a pas été commise en Suisse. Le recourant n'a de plus pas respecté les décisions d'interdiction d'entrée dont il a fait l'objet. Si le recourant est, certes, indépendant financièrement, n’a pas recouru à l’aide sociale et a pu établir parler français au niveau A2, de tels éléments ne suffisent pas pour retenir l’existence d’une intégration socio‑professionnelle particulièrement réussie. Il ne rend pas vraisemblable qu’il se serait investi dans la vie associative, culturelle ou sportive à Genève. Enfin, bien qu’indépendant économiquement, il occupe un emploi non qualifié dans le secteur de la restauration et ne peut se prévaloir d’une ascension professionnelle remarquable au sens de la jurisprudence. En outre, les connaissances professionnelles acquises en Suisse ne sont pas spécifiques à ce pays, au point qu’il ne pourrait les utiliser au Kosovo. Le recourant est né au Kosovo et y a passé toute son enfance, son adolescence et le début de sa vie d’adulte jusqu’à l’âge de 21 ans. Il y est retourné depuis à diverses reprises. Il connaît les us et coutumes de son pays, la mentalité et en parle la langue. Il ne soutient pas ne plus y avoir de famille, quand bien même il tente de minimiser ses liens avec son pays d'origine. Ainsi, malgré la durée de son séjour en Suisse, son pays ne peut lui être devenu étranger. Âgé de 41 ans et en bonne santé, il pourra faire valoir en cas de retour l’expérience et les compétences acquises en Suisse pour sa réintégration, notamment professionnelle et sociale, et ne devrait ainsi pas rencontrer d’importants problèmes de réintégration professionnelle, du moins qui soient indépendants des difficultés connues par l'ensemble de la population au Kosovo. À cet égard, les facteurs socio-économiques généraux qu'il invoque, tels que le taux de chômage dans son pays d'origine, n'ont pas à être pris en compte dans le cadre de l'analyse d'un éventuel cas d'extrême gravité. Sa situation ne permet en tout cas pas de retenir que sa réintégration serait gravement compromise au sens de la jurisprudence. Au vu de ce qui précède, l’OCPM n’a pas violé la loi ni commis un abus de son pouvoir d’appréciation en refusant de préaviser favorablement auprès du SEM la demande d’autorisation de séjour présentée par le recourant.</w:t>
      </w:r>
    </w:p>
    <w:p>
      <w:r>
        <w:rPr>
          <w:b/>
        </w:rPr>
        <w:t>E. 3.8</w:t>
      </w:r>
    </w:p>
    <w:p>
      <w:r>
        <w:t>Dès lors que l’OCPM a, à juste titre, refusé l’octroi d’une autorisation de séjour au recourant, il devait prononcer son renvoi. En l’espèce, aucun motif ne permet de retenir que l’exécution du renvoi ne serait pas possible, licite ou ne pourrait raisonnablement être exigée. Les facteurs socio-économiques prévalant au Kosovo ne peuvent pas non plus être pris en compte dans ce cadre, le manque de perspectives économiques ou un taux de chômage élevé ne constituant pas des circonstances permettant d'admettre que l'exécution d'un renvoi ne serait pas exigible. Entièrement mal fondé, le recours sera rejeté.</w:t>
      </w:r>
    </w:p>
    <w:p>
      <w:r>
        <w:rPr>
          <w:b/>
        </w:rPr>
        <w:t>E. 4</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