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A/1423/2002 vom 9. Juni 2004</w:t>
      </w:r>
    </w:p>
    <w:p>
      <w:r>
        <w:t>GE Cour de justice, 2004-06-09, FR</w:t>
      </w:r>
    </w:p>
    <w:p>
      <w:r>
        <w:rPr>
          <w:b/>
        </w:rPr>
        <w:t xml:space="preserve">Quelle: </w:t>
      </w:r>
      <w:r>
        <w:t>https://mcp.opencaselaw.ch/entscheid/ge_gerichte_A_1423_2002</w:t>
      </w:r>
    </w:p>
    <w:p>
      <w:r>
        <w:t>FR: GE_GERICHTE A/1423/2002 du 9 juin 2004</w:t>
      </w:r>
    </w:p>
    <w:p>
      <w:r>
        <w:t>IT: GE_GERICHTE A/1423/2002 del 9 giugno 2004</w:t>
      </w:r>
    </w:p>
    <w:p>
      <w:pPr>
        <w:pStyle w:val="Heading2"/>
      </w:pPr>
      <w:r>
        <w:t>Erwägungen</w:t>
      </w:r>
    </w:p>
    <w:p>
      <w:r>
        <w:rPr>
          <w:b/>
        </w:rPr>
        <w:t>E. 2</w:t>
      </w:r>
    </w:p>
    <w:p>
      <w:r>
        <w:t>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article 56 V LOJ). Sa compétence pour juger du cas d’espèce est ainsi établie.</w:t>
      </w:r>
    </w:p>
    <w:p>
      <w:r>
        <w:rPr>
          <w:b/>
        </w:rPr>
        <w:t>E. 3</w:t>
      </w:r>
    </w:p>
    <w:p>
      <w:r>
        <w:t>La loi fédérale sur la partie générale du droit des assurances sociales du 6 octobre 2000 (ci-après :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1er LPGA). Le présent litige sera en conséquence examiné à la lumière des dispositions de la loi fédérale sur l’assurance-invalidité du 19 juin 1959 (ci-après : LAI) et du règlement sur l’assurance-invalidité du 17 janvier 1961 (ci-après : RAI) en vigueur jusqu’au 31 décembre 2002.</w:t>
      </w:r>
    </w:p>
    <w:p>
      <w:r>
        <w:rPr>
          <w:b/>
        </w:rPr>
        <w:t>E. 4</w:t>
      </w:r>
    </w:p>
    <w:p>
      <w:r>
        <w:t>Déposé dans les forme et délai imposés par la loi, le présent recours est recevable (art. 69 LAI et 84 de la loi fédérale sur l’assurance-vieillesse et survivants du 20 décembre 1946 – LAVS).</w:t>
      </w:r>
    </w:p>
    <w:p>
      <w:r>
        <w:rPr>
          <w:b/>
        </w:rPr>
        <w:t>E. 5</w:t>
      </w:r>
    </w:p>
    <w:p>
      <w:r>
        <w:t>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de cette disposition précise que l’invalidité est réputée survenue dès qu’elle est, par sa nature et sa gravité, propre à ouvrir droit aux prestations entrant en considération. Les facteurs psychosociaux et socioculturels ne figurent pas au nombre des atteintes à la santé susceptibles d’entraîner une incapacité de gain au sens de l’art. 4 al. 1 LAI, (ATF 127 V 294 ). Selon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 8 al. 3 LAI précise que les mesures de réadaptation comprennent notamment des mesures d’ordre professionnel, telles que l’orientation professionnelle, la formation professionnelle initiale, le reclassement professionnel et une aide au placement. Aux termes de l’art. 17 LAI, l’assuré a droit au reclassement dans une nouvelle profession, si son invalidité le rend nécessaire et si sa capacité de gain peut ainsi, selon toute vraisemblance, être sauvegardée ou améliorée de manière notable. Est considéré comme invalide, au sens de cette disposition, celui qui subit, du fait de ses atteintes à la santé, une perte de gain d’environ 20% (ATF 124 V 108 , 110). Le reclassement professionnel englobe toutes les mesures de réadaptation d’ordre professionnel qui sont nécessaires et de nature à procurer à la personne assurée qui avait déjà exercé une activité lucrative avant la survenance de l’invalidité une possibilité de gain approximativement équivalente à celle d’auparavant. La notion d’ « équivalence approximative » se rapporte en premier lieu non pas au niveau de formation en tant que tel, mais aux possibilités de gain à prévoir après la réadaptation (ATF 124 V 108 111 = VSI 2000 p. 25 ss ; ATF 122 V 79 ). Pour déterminer si une mesure est de nature à rétablir, améliorer, sauvegarder ou à favoriser l’usage de la capacité de gain d’un assuré, il convient d’effectuer un pronostic sur les chances de succès de telles mesures (cf. ATF 110 V 101 consid. 2) qui ne sont pas allouées si elles sont vouées à l’échec, selon toute vraisemblance. En effet, les mesures de réadaptation ne sont à la charge de l’assurance-invalidité que s’il existe une proportion raisonnable entre leur coût et leur utilité prévisible (ATFA non publié du 16 septembre 2003 en la cause I 657/02).</w:t>
      </w:r>
    </w:p>
    <w:p>
      <w:r>
        <w:rPr>
          <w:b/>
        </w:rPr>
        <w:t>E. 6</w:t>
      </w:r>
    </w:p>
    <w:p>
      <w:r>
        <w:t>En l’occurrence, il est admis que la recourante ne pourrait plus travailler dans un environnement bruyant en tant qu’ouvrière d’usine, activité qu’elle a exercée depuis son arrivée en Suisse en 1999. Cela ne signifie cependant pas que toutes les activités simples et répétitives lui sont interdites, dès lors que bon nombre de celles-ci ne s’exercent pas forcément dans un environnement bruyant. Tel n’est notamment pas le cas du travail d’une caissière ou dans le secteur du nettoyage de bureaux ou de ménages privés. Il est peu probable que la recourante subirait dans de telles activités une perte de gain de 20% lui ouvrant le droit à des mesures de reclassement professionnel. Toutefois, cette question peut rester ouverte, dans la mesure où l’assurée a une formation d’aide-comptable et pourrait ainsi également exercer un travail d’employé de bureau. Dans une telle activité elle ne subirait aucune perte de gain. Au contraire, elle pourrait réaliser des revenus supérieurs. Il est vrai que, dans la réalité, elle n’est vraisemblablement pas capable d’exercer une telle profession en Suisse, dès lors que ses connaissances de la langue française sont insuffisantes. Toutefois, ce fait ne saurait être pris en considération, l’assurance-invalidité ne devant répondre que des invalidités provoquées par une atteinte à la santé. Au vu de ce qui précède, c’est à raison que l’intimé a constaté que la recourante ne subissait aucune perte de gain due à une atteinte à la santé, de sorte que le droit aux mesures professionnelles ne pouvait lui être reconnu.</w:t>
      </w:r>
    </w:p>
    <w:p>
      <w:r>
        <w:rPr>
          <w:b/>
        </w:rPr>
        <w:t>E. 7</w:t>
      </w:r>
    </w:p>
    <w:p>
      <w:r>
        <w:t>Cela étant, le recours sera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