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A/1423/2000 vom 25. Mai 2004</w:t>
      </w:r>
    </w:p>
    <w:p>
      <w:r>
        <w:t>GE Cour de justice, 2004-05-25, FR</w:t>
      </w:r>
    </w:p>
    <w:p>
      <w:r>
        <w:rPr>
          <w:b/>
        </w:rPr>
        <w:t xml:space="preserve">Quelle: </w:t>
      </w:r>
      <w:r>
        <w:t>https://mcp.opencaselaw.ch/entscheid/ge_gerichte_A_1423_2000</w:t>
      </w:r>
    </w:p>
    <w:p>
      <w:r>
        <w:t>FR: GE_GERICHTE A/1423/2000 du 25 mai 2004</w:t>
      </w:r>
    </w:p>
    <w:p>
      <w:r>
        <w:t>IT: GE_GERICHTE A/1423/2000 del 25 maggio 2004</w:t>
      </w:r>
    </w:p>
    <w:p>
      <w:pPr>
        <w:pStyle w:val="Heading2"/>
      </w:pPr>
      <w:r>
        <w:t>Erwägungen</w:t>
      </w:r>
    </w:p>
    <w:p>
      <w:r>
        <w:rPr>
          <w:b/>
        </w:rPr>
        <w:t>E. 14</w:t>
      </w:r>
    </w:p>
    <w:p>
      <w:r>
        <w:t>Aux termes de l'art. 52 LAVS, l'employeur doit couvrir le dommage qu'il a causé en violant les prescriptions intentionnellement ou par négligence grave. Il sied de rappeler que l'art. 52 LAVS est une disposition spéciale (RCC 1989 p. 117).</w:t>
      </w:r>
    </w:p>
    <w:p>
      <w:r>
        <w:rPr>
          <w:b/>
        </w:rPr>
        <w:t>E. 15</w:t>
      </w:r>
    </w:p>
    <w:p>
      <w:r>
        <w:t>En l’espèce, le dommage consiste en la perte de la créance de cotisations AVS-AI subie par la Caisse dans la faillite de la société X__________ SA pour un montant de 28'402 fr. 15 représentant les cotisations paritaires impayées d’octobre 1996 à juin 1998. Le dommage subi en raison du non-paiement des contributions AF fera l’objet d’un jugement distinct.</w:t>
      </w:r>
    </w:p>
    <w:p>
      <w:r>
        <w:rPr>
          <w:b/>
        </w:rPr>
        <w:t>E. 16</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rPr>
          <w:b/>
        </w:rPr>
        <w:t>E. 17</w:t>
      </w:r>
    </w:p>
    <w:p>
      <w:r>
        <w:t>L'obligation de payer les cotisations et de fournir des décomptes est pour l'employeur une tâche de droit public prescrite par la loi. A cet égard, le Tribunal fédéral des assurances (TFA) a déclaré à réitérées reprises que la responsabilité de l'employeur au sens de l'art.52 LAVS est liée au statut de droit public (RCC 1987 p. 220). L'employeur qui ne s'acquitte pas de cette tâche commet une violation des prescriptions au sens de l'art.52 LAVS, ce qui entraîne pour lui l'obligation de réparer entièrement le dommage ainsi occasionné (RCC 1985 p. 646).</w:t>
      </w:r>
    </w:p>
    <w:p>
      <w:r>
        <w:rPr>
          <w:b/>
        </w:rPr>
        <w:t>E. 18</w:t>
      </w:r>
    </w:p>
    <w:p>
      <w:r>
        <w:t>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19</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w:t>
      </w:r>
    </w:p>
    <w:p>
      <w:r>
        <w:rPr>
          <w:b/>
        </w:rPr>
        <w:t>E. 20</w:t>
      </w:r>
    </w:p>
    <w:p>
      <w:r>
        <w:t>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Die aktienrechtlische Verantwortlichkeit, 2ème éd., pages 209 et ss).</w:t>
      </w:r>
    </w:p>
    <w:p>
      <w:r>
        <w:rPr>
          <w:b/>
        </w:rPr>
        <w:t>E. 21</w:t>
      </w:r>
    </w:p>
    <w:p>
      <w:r>
        <w:t>En l’occurrence, Monsieur R__________ a été administrateur unique de la société et inscrit comme tel au Registre du commerce du 24 septembre 1996 au 7 mai 1997. Il a dès lors indiscutablement la qualité d’organe formel de la société anonyme durant cette période. (cf. Forstmoser , op. cit. N° 654 et 655, p. 2089 ; Guhl, Merz &amp; Kummer , Das schweizerische Obligationenrecht, 7ème édition, p. 691; ATF 86 II 271 et 93 II 22 ). Le Tribunal de céans prend à cet égard acte que la Caisse a à juste titre tenu compte de sa démission le 7 mai 1997 pour ne plus lui réclamer que la réparation du dommage correspondant aux cotisations AVS-AI d’octobre 1996 à mars 1997. Monsieur N__________ quant à lui a été inscrit au Registre du commerce du 15 septembre 1997 jusqu’à la faillite de la société. Il a dès lors également la qualité d’organe formel de la société.</w:t>
      </w:r>
    </w:p>
    <w:p>
      <w:r>
        <w:rPr>
          <w:b/>
        </w:rPr>
        <w:t>E. 22</w:t>
      </w:r>
    </w:p>
    <w:p>
      <w:r>
        <w:t>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w:t>
      </w:r>
    </w:p>
    <w:p>
      <w:r>
        <w:rPr>
          <w:b/>
        </w:rPr>
        <w:t>E. 23</w:t>
      </w:r>
    </w:p>
    <w:p>
      <w:r>
        <w:t>Pour admettre l’existence d’un comportement intentionnel, il suffit que l’administration d’une société en difficulté ait fait passer avant le paiement des cotisations d’autres dépenses qu’elle jugeait – à tort ou à raison – absolument indispensables à la survie de l’entreprise cela même si elle a été chargée d’intervenir dans une situation déjà compromise qu’il s’agissait de redresser et qu’elle a dû parer au plus pressé pour éviter la faillite. On doit admettre dans ces conditions que l’administration a commis une faute ou à tout le moins une négligence grave lorsqu’au moment où elle a pris en mains la gestion puis tout au long de son activité la survie de la société n’était pas raisonnablement envisageable (cf. ATFA non publié A.SA. du 21.04.1988). Il peut arriver qu’en retardant le paiement de cotisations, l’employeur parvienne à maintenir son entreprise en vie par exemple lors d’une passe délicate dans la trésorerie. Il faut pour qu’un tel comportement ne tombe pas ultérieurement sous le coup de l’article 52 LAVS que l’on puisse admettre que l’employeur avait au moment où il a pris sa décision des raisons sérieuses et objectives de penser qu’il pourrait s’acquitter de sa dette dans un délai raisonnable (RCC 1985, p. 604). Le TFA a jugé que ce n’était pas le cas lorsque l’exercice de la première année concernée s’est soldé par une perte et que la situation n’a fait que s’aggraver. Le TFA a en effet considéré qu’on ne peut parler dans ces conditions d’une absence momentanée de ressources qui ferait apparaître comme non-fautive une violation des prescriptions en matière d’AVS (cf. ATFA non publié M.W. du 20.05.1988).</w:t>
      </w:r>
    </w:p>
    <w:p>
      <w:r>
        <w:rPr>
          <w:b/>
        </w:rPr>
        <w:t>E. 24</w:t>
      </w:r>
    </w:p>
    <w:p>
      <w:r>
        <w:t>Monsieur R__________ La Caisse lui reproche d’être resté passif en attendant que Monsieur G__________ verse les 50'000 fr. représentant le prix de la cession des actions tel qu’il avait été prévu par la convention du 17 mars 1997. Or, Monsieur G__________ a lui-même confirmé que non seulement Monsieur R__________ se préoccupait du paiement des cotisations sociales, mais qu’il avait même cherché à emprunter personnellement en avril 1997 auprès de la banque Migros cette somme de 50'000 fr., en vain. La Caisse rappelle que Monsieur R__________ était administrateur de la société Z__________ SA et qu’en tant que tel, il aurait pu faire en sorte que la dette de Z__________ s’élevant à 160'261 fr. soit payée. Monsieur R__________ souligne à cet égard que la société Z__________ SA était par ailleurs créancière de X__________ SA pour 170'013 fr., soit pour un montant dépassant la dette. Le Tribunal de céans constate que Monsieur R__________ a démissionné dès qu’il a compris que la somme de 50'000 fr. qui aurait servi à couvrir les charges sociales dues par la société, ne serait pas versée en temps utile par Monsieur G__________ et que la société ne bénéficierait pas du portefeuille substantiel dont Monsieur P__________ avait promis l’arrivée. Il appert du compte de pertes et profits au 31 mars 1997 que la société souffrait d’un manque de liquidités, ce qui explique les difficultés rencontrées pour payer les cotisations AVS-AI dues à la Caisse. Un bénéfice de 994 fr. 64 a toutefois été dégagé. Il est vrai que si Monsieur G__________ s’était acquitté des 50'000 fr. convenus, le solde aurait été largement positif. C’est dire qu’au moment de la démission de Monsieur R__________, la situation présentait un tableau relativement équilibré. Il y a lieu de rappeler que la société s’est acquittée d’un montant de 6'000 fr. auprès de la Caisse en date du 1 er mai 1997. Il appert des déclarations de Monsieur G__________ que Monsieur R__________ s’est régulièrement tenu au courant de la situation financière de la société, qu’il s’est inquiété du paiement des charges sociales et a pris les mesures que l’on pouvait attendre de lui pour réduire tant que faire se peut le dommage subi par la Caisse. Il a, de concert avec Monsieur G__________, déterminé quels étaient les paiements à effectuer en priorité, sans négliger les cotisations AVS, a réduit le personnel en licenciant quatre personnes sur sept et a tenté d’obtenir, en s’engageant personnellement, un prêt de 50'000 fr. Le Tribunal de céans considère dès lors que la négligence commise par Monsieur R__________ ne saurait être qualifiée de grave au sens de l’art. 52 LAVS.</w:t>
      </w:r>
    </w:p>
    <w:p>
      <w:r>
        <w:rPr>
          <w:b/>
        </w:rPr>
        <w:t>E. 25</w:t>
      </w:r>
    </w:p>
    <w:p>
      <w:r>
        <w:t>Monsieur N__________ Selon la Caisse, Monsieur N__________ a accepté le mandat d’administrateur alors qu’il connaissait ou devait connaître la situation de la société vis-à-vis de la Caisse ; il n’a réagi que lorsque des démarches pénales ont été entreprises par celle-ci, - il ne s’est pas, d’une façon générale, acquitté de son obligation de surveiller la gestion assumée par Monsieur G__________. Le Tribunal de céans relève cependant que Monsieur N__________ n’est devenu administrateur qu’en septembre 1997, soit bien après la convention du 17 mars 1997, aux termes de laquelle Monsieur G__________ se voyait céder par Y__________ SA les actions de la société. Entendu par le Tribunal de céans, Monsieur G__________ a lui-même confimé qu’à partir de ce moment-là, il s’occupait de tout, tout en tenant informé Monsieur N__________, comme il l’avait fait avec Monsieur R__________ (cf. procès-verbal du 11 mai 2004). Il a du reste expressément déclaré « relever Monsieur N__________ de toute responsabilité ». Il y a dès lors lieu de considérer que Monsieur N__________ ne saurait se voir reprocher d’avoir causé un dommage à la Caisse au sens de l’art. 52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