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A/1422/2011 vom 7. Juni 2011</w:t>
      </w:r>
    </w:p>
    <w:p>
      <w:r>
        <w:t>GE Cour de justice, 2011-06-07, FR</w:t>
      </w:r>
    </w:p>
    <w:p>
      <w:r>
        <w:rPr>
          <w:b/>
        </w:rPr>
        <w:t xml:space="preserve">Quelle: </w:t>
      </w:r>
      <w:r>
        <w:t>https://mcp.opencaselaw.ch/entscheid/ge_gerichte_A_1422_2011</w:t>
      </w:r>
    </w:p>
    <w:p>
      <w:r>
        <w:t>FR: GE_GERICHTE A/1422/2011 du 7 juin 2011</w:t>
      </w:r>
    </w:p>
    <w:p>
      <w:r>
        <w:t>IT: GE_GERICHTE A/1422/2011 del 7 giugno 2011</w:t>
      </w:r>
    </w:p>
    <w:p>
      <w:pPr>
        <w:pStyle w:val="Heading2"/>
      </w:pPr>
      <w:r>
        <w:t>Erwägungen</w:t>
      </w:r>
    </w:p>
    <w:p>
      <w:r>
        <w:rPr>
          <w:b/>
        </w:rPr>
        <w:t>E. 1</w:t>
      </w:r>
    </w:p>
    <w:p>
      <w:r>
        <w:t>Par arrêté du 30 mars 2011, le Conseil d’Etat a révoqué Monsieur X______, fonctionnaire nommé depuis 1998, de sa fonction de maître dans l’enseignement secondaire, avec effet au 31 juillet 2011. M. X______ n’était plus autorisé jusqu’à la fin de l’année de 2010-2011 à accompagner des élèves lors de séjours à l’étranger. La décision était exécutoire nonobstant recours.</w:t>
      </w:r>
    </w:p>
    <w:p>
      <w:r>
        <w:rPr>
          <w:b/>
        </w:rPr>
        <w:t>E. 2</w:t>
      </w:r>
    </w:p>
    <w:p>
      <w:r>
        <w:t>Les constats effectués lors d’une enquête administrative permettaient de retenir une violation du devoir de dignité de l’enseignant et de ses obligations de bonne exécution de son travail, dès lors qu’elle établissait que l’intéressé, enseignant au Y______, avait donné durant une heure où il enseignait un rendez-vous à caractère sexuel dans les locaux de l’établissement à un élève qui fréquentait celui-ci (même s’il ignorait qu’il y était inscrit) et qu’il avait par la suite menacé l’élève concerné. Ces éléments étaient constitutifs de violations des art. 120 al. 1 de la loi sur l’instruction publique du 6 novembre 1940 (LIP - C 1 10), et 20 et 21 al. 3 du règlement fixant le statut des membres du corps enseignant primaire, secondaire et tertiaire ne relevant pas des hautes écoles (RStCE - B5 10.04).</w:t>
      </w:r>
    </w:p>
    <w:p>
      <w:r>
        <w:rPr>
          <w:b/>
        </w:rPr>
        <w:t>E. 3</w:t>
      </w:r>
    </w:p>
    <w:p>
      <w:r>
        <w:t>M. X______ a recouru le 16 mai 2011 contre la décision précitée, qui lui était parvenue le 31 mars 2011. Il demandait son annulation en concluant préalablement à la restitution de l’effet suspensif, ainsi qu’à l’autorisation de pouvoir rependre son enseignement avec son traitement intégral.</w:t>
      </w:r>
    </w:p>
    <w:p>
      <w:r>
        <w:rPr>
          <w:b/>
        </w:rPr>
        <w:t>E. 4</w:t>
      </w:r>
    </w:p>
    <w:p>
      <w:r>
        <w:t>A teneur de l’art. 131A al. 2 LIP, la chambre administrative ne peut imposer la réintégration d’un membre du personnel enseignant, sauf si elle constate l’absence de violation des devoirs de service ce qui, in casu , ne s’impose pas d’emblée et fera l’objet du jugement au fond, après l’administration des mesures probatoires nécessaires ( ATA/160/2011 du 11 mars 2011 ; ATA/627/2010 du 8 septembre 2010).</w:t>
      </w:r>
    </w:p>
    <w:p>
      <w:r>
        <w:rPr>
          <w:b/>
        </w:rPr>
        <w:t>E. 5</w:t>
      </w:r>
    </w:p>
    <w:p>
      <w:r>
        <w:t>En l’espèce, dans la décision attaquée l’autorité intimée a clairement indiqué qu’elle n’entendait pas réemployer M. X______ dans l’avenir, dès lors qu’elle considérait qu’il n’aurait plus jamais l’autorité nécessaire pour enseigner, ce qui justifiait le caractère exécutoire nonobstant recours donné au dispositif de son arrêté du 30 mars 2011. Si la chambre administrative faisait droit à la demande de restitution de l’effet suspensif présentée par le recourant, elle rendrait une décision allant au delà des compétences qui sont les siennes sur le fond, de sorte qu’elle n’est pas autorisée à restituer l’effet suspensif au recours sans qu’il y ait lieu de procéder à une pesée des intérêts en présence ( ATA/343/2011 du 25 mai 2011  ; ATA/160/2011 du 11 mars 2011 ; ATA/627/2010 du 8 septembre 2010 ; ATA/388/2009 du 11 août 2009 ; ATA/301/2007 du 11 juin 2007). LA CHAMBRE ADMINISTRATIVE rejette la demande de restitution de l’effet suspensif formulée le 16 mai 2011 par Monsieur X______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De Preux, avocat du recourant, ainsi qu’au Conseil d’Etat. La présidente siégeant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