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A/1420/2022 vom 1. September 2022</w:t>
      </w:r>
    </w:p>
    <w:p>
      <w:r>
        <w:t>GE Cour de justice, 2022-09-01, FR</w:t>
      </w:r>
    </w:p>
    <w:p>
      <w:r>
        <w:rPr>
          <w:b/>
        </w:rPr>
        <w:t xml:space="preserve">Quelle: </w:t>
      </w:r>
      <w:r>
        <w:t>https://mcp.opencaselaw.ch/entscheid/ge_gerichte_A_1420_2022</w:t>
      </w:r>
    </w:p>
    <w:p>
      <w:r>
        <w:t>FR: GE_GERICHTE A/1420/2022 du 1 septembre 2022</w:t>
      </w:r>
    </w:p>
    <w:p>
      <w:r>
        <w:t>IT: GE_GERICHTE A/1420/2022 del 1 settembre 2022</w:t>
      </w:r>
    </w:p>
    <w:p>
      <w:pPr>
        <w:pStyle w:val="Heading2"/>
      </w:pPr>
      <w:r>
        <w:t>Regeste</w:t>
      </w:r>
    </w:p>
    <w:p>
      <w:r>
        <w:t>Oppositions; fardeau de la preuve; minimum vital; dépenses effectives; frais de transport | lp.74; lp.93</w:t>
      </w:r>
    </w:p>
    <w:p>
      <w:pPr>
        <w:pStyle w:val="Heading2"/>
      </w:pPr>
      <w:r>
        <w:t>Volltext</w:t>
      </w:r>
    </w:p>
    <w:p>
      <w:r>
        <w:t>Genève Cour de Justice (Cour civile) Chambre de surveillance en matière de poursuite et faillites 01.09.2022 A/1420/2022</w:t>
      </w:r>
    </w:p>
    <w:p>
      <w:r>
        <w:t>Oppositions; fardeau de la preuve; minimum vital; dépenses effectives; frais de transport | lp.74; lp.93</w:t>
      </w:r>
    </w:p>
    <w:p>
      <w:r>
        <w:t>A/1420/2022 DCSO/341/2022 du 01.09.2022 ( PLAINT ) , REJETE Descripteurs : Oppositions; fardeau de la preuve; minimum vital; dépenses effectives; frais de transport Normes : lp.74; lp.93 En fait En droit Par ces motifs RÉPUBLIQUE ET CANTON DE GENÈVE POUVOIR JUDICIAIRE A/1420/2022-CS DCSO/341/22 DECISION DE LA COUR DE JUSTICE Chambre de surveillance des Offices des poursuites et faillites DU JEUDI 1 ER SEPTEMBRE 2022 Plainte 17 LP (A/1420/2022-CS) formée en date du 6 mai 2022 par A ______ , comparant en personne. * * * * * Décision communiquée par courrier A à l'Office concerné et par plis recommandés du greffier du ______ à : - A ______ ______ ______. - ETAT DE GENEVE Service des contraventions Chemin de la Gravière 5 1227 Les Acacias. - B ______ ______ ______. - Office cantonal des poursuites . EN FAIT A. a. A______ fait notamment l'objet de la poursuite n° 1______ engagée à son encontre par B______, en recouvrement de 24'537 fr. 93. Selon l'exemplaire pour le créancier, le commandement de payer n° 1______ a été notifié à A______ le 7 janvier 2022 et n'a pas été frappé d'opposition. b. B______ ayant requis la continuation de la poursuite n° 1______ le 9 février 2022, l'Office cantonal des poursuites (ci-après: l'Office) a adressé à A______, le 17 février 2022, un avis de saisie. c. Le 17 mars 2022, se fondant sur une précédente évaluation de la situation financière de A______, laquelle avait par le passé été au bénéfice de prestations d'assistance de l'Hospice général, l'Office a établi un acte de défaut de biens dans la poursuite n° 1______. d. Par courrier du 25 mars 2022, B______ a invité l'Office à réévaluer la situation de la poursuivie, qui avait vraisemblablement repris une activité lucrative. e. A______ a été auditionnée par l'Office le 8 avril 2022, dans le cadre de la série n° 2______, à laquelle participent la poursuite n° 1______ précitée et la poursuite n° 3______ engagée par l'Etat de Vaud. Selon le procès-verbal de cette audition, elle travaillait à temps partiel pour deux employeurs, soit C______ SA et D______ SA, les rapports de travail avec C______ SA ayant été résiliés pour le 30 juin 2022. Selon le calcul de l'Office à cette date, ses charges admissibles totalisaient 4'420 fr. pour le mois d'avril 2022 et comprenaient le montant de base OP, en 1'200 fr., le forfait d'entretien pour l'enfant E______, en 160 fr. (correspondant à huit jours de droit de visite par mois), la prime d'assurance-maladie (209 fr. 55), les frais de repas (242 fr.), 1'285 fr. au titre de loyer et 1'250 fr. de frais de transport, correspondant au coût de location d'une voiture. Le même jour, l'Office a adressé aux deux employeurs de la poursuivie des avis de saisie de salaire. Il a saisi l'intégralité du salaire auprès de C______ SA ainsi que toute somme supérieure à 4'420 fr. sur le salaire réalisé auprès de D______ AG, qui était le principal employeur. f. Le 28 avril 2022, l'Office a adapté la quotité saisissable des revenus de A______. Il a fixé son minimum vital pour le mois de mai 2022 à 3'440 fr., la différence par rapport au mois d'avril s'expliquant par la prise en compte du coût de l'abonnement général CFF en 2 ème classe en 340 fr., au titre de frais de transport, à la place des frais de location d'une voiture admis dans le précédent calcul. g. Le 29 avril 2022, l'Office a avisé l'employeur D______ AG de ce que la saisie de salaire de A______ portait désormais sur toute somme supérieure à 3'440 fr. B. a. Par acte adressé le 6 mai 2022 à la Chambre de surveillance, A______ a formé une plainte au sens de l'art. 17 LP contre la saisie de ses revenus. Elle a contesté le calcul de l'Office, qui ne lui laissait guère d'argent pour vivre. Elle a produit diverses pièces en relation avec ses revenus ainsi qu'un budget rédigé par ses soins, faisant état de charges à hauteur de 7'603 fr. pour le mois d'avril 2022, dont 1'250 fr. de frais de location de voiture. A______ a allégué par ailleurs qu'elle avait formé opposition au commandement de payer, poursuite n° 1______. Elle a requis le prononcé de l'effet suspensif. b. Dans ses déterminations sur effet suspensif des 9 et 11 mai 2022, l'Office a exposé que le commandement de payer, n° 1______, avait été distribué au guichet postal le 7 janvier 2022 et n'avait pas été frappé d'opposition, ainsi que cela ressortait aussi du Track &amp; Trace de la Poste, que l'Office a produit. S'agissant de la quotité saisissable, l'Office a rappelé les faits exposés ci-dessus ( supra Aa. à Ag.) et indiqué qu'il avait par ailleurs restitué à la poursuivie 625 fr. 95 le 2 mai 2022, correspondant à 101 fr. 15 de frais médicaux, 471 fr. 80 de frais d'essence et 53 fr. de frais de parking. c. Par décision du 12 mai 2022, la Chambre de céans a partiellement accordé l'effet suspensif à la plainte, en ce sens que le minimum vital de la poursuivie était provisoirement fixé à 4'420 fr., comprenant les frais de location d'une voiture. En tant que pharmacienne itinérante, il était possible que A______ puisse avoir besoin d'utiliser une voiture privée pour se déplacer, en fonction des lieux de situation des pharmacies et de ses horaires de travail. La Chambre de céans n'ayant pas au dossier les éléments pour statuer sur cette question, A______ était invitée à compléter sa plainte par des renseignements documentés sur ses horaires de travail et la localisation des pharmacies auprès desquelles elle travaillait. d. A______ n'a pas fourni les renseignements demandés. Elle a indiqué, dans son courrier du 23 mai 2022, que les horaires de travail et les itinéraires n'étaient pas le problème. Dans des courriers successifs, elle s'est plainte notamment du caractère fluctuant de ses revenus. e. Par décision du 23 juin 2022, la Chambre de céans n'est pas entrée en matière sur une nouvelle demande d'effet suspensif. Elle a rappelé que la quotité saisissable avait été provisoirement fixée à toute somme supérieure à 4'420 fr., cette formulation permettant de tenir compte d'éventuelles fluctuations des revenus de la plaignante. f. Aux termes de son rapport du 24 juin 2022, l'Office a exposé qu'il n'avait pas tenu compte des amendes dans le calcul du minimum vital de la débitrice, lesquelles ne faisaient pas partie des charges incompressibles. Sur présentation des justificatifs, il avait en revanche remboursé à la plaignante certains frais. Compte tenu de la baisse des revenus de la plaignante en mai 2022, l'Office n'avait pas saisi le salaire de 1'034 fr. réalisé par celle-ci auprès de D______ AG. Il lui avait aussi restitué le montant de 2'068 fr. 35 qu'il avait reçu de C______ SA, la somme des revenus ne dépassant pas le minimum vital. g. Le 29 juin 2022, les parties et l'Office ont été avisés de ce que l'instruction de la cause était close. h. A______ a encore adressé à la Chambre de céans des écritures spontanées les 12, 13, 19, 26 et 8 août 2022. Par ordonnance du 4 août 2022, la Chambre de céans n'est pas entrée en matière sur les nouvelles conclusions sur mesures provisionnelles présentées par A______ dans ces écritures. EN DROIT 1. 1.1.1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1.1.2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CR LP, n° 32 et 33 ad art. 17 LP). 1.1.3 Lorsque la plainte est dirigée contre la saisie, le délai de dix jours prévu par l'art. 17 al. 2 LP commence à courir avec la communication du procès-verbal de saisie (ATF 107 III 7 consid. 2), avec pour conséquence qu'il ne pourrait être entré en matière sur une plainte déposée avant cette communication (en ce sens : Jent-Sorensen, in BSK SchKG I, 2010, n° 19 ad art. 112 LP et Zondler, in Kommentar SchKG, 2017, Kren Kostkiewicz/Vock [éd.], n° 4 ad art. 114 LP). Selon la jurisprudence de la Chambre de céans ( DCSO/196/2021 du 27 mai 2021; DCSO/203/2019 du 2 mai 2019),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 pourrait conduire à priver le débiteur pendant plusieurs semaines des moyens nécessaires à son existence. 1.2.1 La plainte est dirigée en l'espèce d'une part contre la décision de l'Office cantonal des poursuites de donner suite à la réquisition du créancier de continuer la poursuite n° 1______, la plaignante soutenant qu'elle aurait déclaré former opposition au commandement de payer lors de sa notification le 7 janvier 2022. La question de savoir si la plainte déposée le 6 mai 2022 l'a été en temps utile à cet égard souffre de rester indécise, vu l'issue de la procédure sur ce point. 1.2.2 La plainte est d'autre part dirigée contre l'exécution de la saisie, soit une mesure pouvant être attaquée par cette voie, et émane d'une personne touchée dans ses intérêts juridiques. Bien que sa motivation soit relativement succincte, les reproches adressés par la plaignante à l'Office sont compréhensibles, de même que ses conclusions. Dans la mesure où elle dénonce une violation de son minimum vital, la plaignante pouvait par ailleurs contester l'exécution de la saisie sans attendre de recevoir le procès-verbal de saisie, ce qu'elle a fait après avoir eu connaissance de la saisie de son salaire, étant précisé que l'on ignore à quelle date elle a eu connaissance de la saisie de salaire concernant le mois d'avril 2022, l'avis à l'employeur étant daté du 8 avril 2022, alors que l'avis concernant le mois de mai 2022 est daté du 28 avril 2022. En tout état de cause, une atteinte flagrante au minimum vital est sanctionnée de la nullité, de sorte que la plainte est recevable en tout temps. La plainte pour atteinte au minimum vital est donc recevable. 2. 2.1. Dès réception de la réquisition de poursuite (art. 69 al. 1 LP), l'Office rédige le commandement de payer en double exemplaire, l'un destiné au créancier, l'autre au débiteur (art. 70 al. 1 1 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consid. 3b). 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 Si les deux exemplaires du procès-verbal de notification ne sont pas identiques, celui délivré au débiteur fait foi (ATF 128 III 380 consid. 1.2). L'opposition n'est soumise à aucune forme spéciale. Elle peut être orale ou écrite.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 Le débiteur conserve cependant la possibilité d'établir par d'autres moyens de preuve qu'il a formé opposition lors de la notification de l'acte, même si le procès-verbal ne le mentionne pas ou mentionne qu'aucune opposition n'a été formée (ATF 84 III 13 ). 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 2.2 En l'espèce, la plaignante ne conteste pas que le commandement de payer litigieux lui a été notifié au guichet postal le 7 janvier 2022. Tant l'exemplaire pour le créancier dudit commandement de payer que le Track &amp; Trace de la Poste indiquent par ailleurs qu'aucune opposition n'a été formée à cette poursuite. La plaignante, qui avait pourtant le fardeau de la preuve, n'a fourni aucun élément probant susceptible de soutenir sa position selon laquelle elle aurait déclaré - oralement - l'opposition au moment de la réception de l'acte. Elle n'a en particulier pas produit devant l'autorité de surveillance l'exemplaire pour le débiteur du commandement de payer, qu'elle admet pourtant avoir reçu et qui aurait pu, si la mention de l'opposition y était consignée, corroborer sa version. Aussi, la plaignante n'a pas établi, contrairement à ce qui ressort du procès-verbal de notification mentionné sur l'exemplaire pour le créancier du commandement de payer, qu'elle aurait formé opposition au commandement de payer au moment de la remise de l'acte. C'est donc à bon droit que l'Office a donné suite à la réquisition du créancier de continuer la poursuite. Mal fondée, la plainte sur ce point sera rejetée. 3. 3.1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NI-2022;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l'alimentation, les vêtements et le linge, les soins corporels, l'entretien du logement, les frais culturels, la téléphonie et la connectivité, l'éclairage, l'électricité, le gaz, les assurances privées, etc. (art. I NI 2022). D'autres charges indispensables, comme les frais de logement (art. II.1 et II.3 NI-2022), les primes d'assurance-maladie obligatoire (art. II.3 NI-2022) ou les frais de déplacement du domicile au lieu de travail, doivent être ajoutées à cette base mensuelle d'entretien, pour autant qu'elles soient effectivement payées (Ochsner, in CR-LP, n° 82 ad art. 93 LP). Pour un véhicule automobile qui n'est pas indispensable, il est remboursé les frais d'utilisation des transports publics (art. II.4 let. d NI-2022). 3.1.2 .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3.1.3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consid. 5.4.1; 5A_16/2011 du 2 mai 2011 consid.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déjà cité; Ochsner, in CR-LP, n. 209 ss. ad art. 93 LP). 3.2.1 La plaignante fait valoir que ses revenus, fluctuants, sont insaisissables. A cet égard, s'agissant du mois d'avril 2022, l'Office a saisi auprès des employeurs de la poursuivie les revenus qui dépassaient son minimum vital, ce qui apparaît adéquat. Par ailleurs, l'Office a réajusté le montant de la saisie pour le mois de mai 2022, en fonction du nouveau calcul des charges, ce qui est aussi correct, puis a opéré des restitutions en faveur de la plaignante, sur la base des revenus effectivement réalisés ce mois-là, inférieurs à ceux obtenus le mois précédent. Ce procédé n'est pas critiquable, d'éventuels ajustements supplémentaires pouvant intervenir par la suite, en fonction notamment des revenus réalisés les mois suivants, et ce aussi longtemps que les salaires saisis ne sont pas distribués. 3.2.2 En ce qui concerne les charges, la plaignante allègue des dépenses concernant des amendes ou des arriérés de loyer que l'Office n'a à juste titre pas inclus dans son minimum vital. En effet, il n'est pas tenu compte dans le calcul du minimum vital de dettes ordinaires que le débiteur rembourse et cela quand bien même l'intéressé aurait pris des engagements en ce sens (cf. not. ATF 96 II 6 = JdT 1966 II 49 et ATF 102 III 17 ). Quant aux amendes pour des contraventions à la loi sur la circulation routière, elles ne font pas partie des charges incompressibles, à supposer qu'elles aient été effectivement payées. D'autres frais allégués sont en outre déjà compris dans le montant d'entretien de base mensuel (frais de téléphone, de réseau TV ou d'assurance). Quand bien même elles seraient prouvées et indispensables, les dépenses alléguées en relation avec l'entretien de la fille de la plaignante ne font pas partie du minimum vital de la poursuivie, qui n'a pas la garde sur l'enfant. L'Office a tenu compte d'un montant de 160 fr. par mois en relation avec l'exercice du droit de visite par la plaignante à raison de huit jours par mois, correspondant à 20 fr. par jour (forfait d'entretien pour un enfant de 600 fr. divisé par 30 jours), ce qui apparaît adéquat et qui n'est pas concrètement critiqué. En ce qui concerne les frais de transport, la plaignante a allégué des frais de location d'une voiture dont l'Office a tenu compte exceptionnellement pour le mois d'avril 2022. Dès le mois de mai 2022, l'Office a admis le coût de l'abonnement général CFF en 2 ème classe, à hauteur de 340 fr. par mois, estimant que l'utilisation d'une voiture n'était pas indispensable. La plaignante, qui exerce comme pharmacienne itinérante, n'a pas fourni les renseignements requis par la Chambre de céans concernant ses horaires de travail et l'emplacement des pharmacies dans lesquelles elle intervient. Elle n'a ainsi pas établi que l'utilisation d'une voiture était indispensable pour se rendre à son travail et qu'elle ne pourrait pas se déplacer en transports publics, en particulier en train. La Chambre de céans retiendra ainsi que c'est à raison que l'Office a admis, au titre de frais de transport, le coût de l'abonnement général CFF en 2 ème classe dans les charges de la plaignante à compter du mois de mai 2022. Aussi, le minimum vital de la plaignante a correctement été fixé à 4'420 fr. pour le mois d'avril 2022 et à 3'440 fr. pour le mois de mai 2022, étant précisé que d'éventuels changements dans la situation de la poursuivie pourront faire l'objet d'une adaptation de la quotité saisissable, conformément à l'art. 93 al. 3 LP. Mal fondée, la plainte sera rejetée. 4. La procédure de plainte est gratuite (art. 20a al. 2 ch. 5 LP; 61 al. 2 let. a OELP). * * * * * PAR CES MOTIFS, La Chambre de surveillance : Rejette, en tant qu'elle est recevable, la plainte formée le 6 mai 2022 par A______ dans la poursuite n° 1______ et contre la saisie de salaire effectuée par l'Office cantonal des poursuites pour les mois d'avril et mai 2022 dans la série n° 2______. Siégeant : Madame Verena PEDRAZZINI RIZZI, présidente; Madame Natalie OPPATJA et Monsieur Mathieu HOWALD,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