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A/1418/2023 vom 20. September 2011</w:t>
      </w:r>
    </w:p>
    <w:p>
      <w:r>
        <w:t>GE Cour de justice, 2011-09-20, FR</w:t>
      </w:r>
    </w:p>
    <w:p>
      <w:r>
        <w:rPr>
          <w:b/>
        </w:rPr>
        <w:t xml:space="preserve">Quelle: </w:t>
      </w:r>
      <w:r>
        <w:t>https://mcp.opencaselaw.ch/entscheid/ge_gerichte_A_1418_2023</w:t>
      </w:r>
    </w:p>
    <w:p>
      <w:r>
        <w:t>FR: GE_GERICHTE A/1418/2023 du 20 septembre 2011</w:t>
      </w:r>
    </w:p>
    <w:p>
      <w:r>
        <w:t>IT: GE_GERICHTE A/1418/2023 del 20 settembre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Selon l’art. 10 al. 2 1 ère phr. de la loi d'application de la loi fédérale sur les étrangers du 16 juin 1988 (LaLEtr - F 2 10), la chambre administrative doit statuer dans les dix jours qui suivent sa saisine. Ayant reçu le recours le 22 mai 2023 et statuant ce jour, elle respecte ce délai.![endif]&gt;![if&gt;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Le recourant ne conteste pas que les conditions de la détention administrative, fondée sur l'art. 76 al. 1 let. b ch. 1 LEI, qui renvoie à l'art. 75 al. 1 let. h LEI, sont remplies. Comme l’a relevé le TAPI, celles-ci ont déjà été examinées et confirmées dans ses jugement des 17 novembre 2022 et 8 février 2023, puis l’arrêt de la cambre administrative du 3 mars 2023 et aucune circonstance nouvelle ne nécessite de les réexaminer. ![endif]&gt;![if&gt; En revanche, le recourant se plaint de la violation de l’art. 76 al. 4 LEI et du principe de l’opportunité.</w:t>
      </w:r>
    </w:p>
    <w:p>
      <w:r>
        <w:rPr>
          <w:b/>
        </w:rPr>
        <w:t>E. 3.1</w:t>
      </w:r>
    </w:p>
    <w:p>
      <w:r>
        <w:t>Le principe de la proportionnalité, garanti par les art. 5 al. 2 et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3.2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w:t>
      </w:r>
    </w:p>
    <w:p>
      <w:r>
        <w:rPr>
          <w:b/>
        </w:rPr>
        <w:t>E. 3.3</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références).![endif]&gt;![if&gt;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ATA/1436/2017 du 27 octobre 2017 consid.6a ; ATA/881/2015 du 28 août 2015 et les références citées).</w:t>
      </w:r>
    </w:p>
    <w:p>
      <w:r>
        <w:rPr>
          <w:b/>
        </w:rPr>
        <w:t>E. 3.4</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2.1).![endif]&gt;![if&gt;</w:t>
      </w:r>
    </w:p>
    <w:p>
      <w:r>
        <w:rPr>
          <w:b/>
        </w:rPr>
        <w:t>E. 3.5</w:t>
      </w:r>
    </w:p>
    <w:p>
      <w:r>
        <w:t>En l’espèce, il ressort du dossier que les autorités helvétiques ont entrepris les démarches nécessaires à l’octroi d’un laissez-passer en faveur du recourant. Le retard que l’établissement de celui-ci a pris ne leur est pas imputable. Selon les renseignements transmis par le SEM, une nouvelle rencontre avec le Consulat général d’B______ est agendée la semaine prochaine, en vue de l’obtention dudit laissez-passer. Le principe de diligence et de célérité a donc été observé.![endif]&gt;![if&gt; Le fait que le laissez-passer n’ait pas encore été établi ne constitue nullement une circonstance permettant de considérer que l’exécution du renvoi serait impossible. En effet et comme l’a relevé le TAPI, si le recourant entreprenait lui-même les démarches auprès du Consulat d’B______, le laissez-passer serait rapidement établi et son renvoi pourrait être exécuté, de sorte que sa détention prendrait fin. Ainsi, en l’état, il n’existe aucune impossibilité à l’exécution du renvoi au sens de l’art. 80 al. 6 let. a LEI. La question de savoir si, au regard des liens affectifs que le recourant soutient entretenir avec son fils adulte, son ex-épouse et les deux filles adultes de celle-ci devrait justifier l’octroi d’une autorisation de séjour ne ressortit pas à l’objet du litige. Celui-ci est limité au bien-fondé de la détention administrative. En outre et contrairement à ce que le recourant laisse entendre, ces seuls liens, même s’ils étaient établis, ne permettraient pas de considérer que la détention administrative ne respecte pas le principe de la proportionnalité. En effet, le recourant ne s’est conformé à aucune décision de renvoi et se soustrait avec obstination depuis 2006 à son renvoi. Celui-ci a échoué les 23 août 2006, 24 janvier 2013 et 25 mars 2013, en raison de son refus de monter à bord de l’avion devant le ramener en B______. Il persiste à s’opposer à son renvoi. Ainsi, aucune mesure moins incisive que la détention administrative ne paraît apte à assurer sa présence lorsque le laissez-passer sera établi par les autorités consulaires B______ et une place réservée sur un vol à destination de l’B______. L’exécution de son renvoi répond à un intérêt public certain, l’intéressé ayant commis des crimes en Suisse et ne respectant pas les décisions de renvoi et d’interdiction d’entrée rendues par les autorités suisses. L’opportunité de son maintien en détention administrative en vue de l’exécution des décisions de renvoi ne fait ainsi pas de doute. Pour le surplus et comme déjà évoqué, il est loisible au recourant de requérir un laissez-passer aux autorités de son pays et de contribuer ainsi, au travers de l’exécution de son renvoi, à sa propre mise en liberté. Par ailleurs, son récent transfert de J______ à Genève tient dûment compte de la demande de ses proches de pouvoir lui rendre visite pendant sa détention administrative. Enfin, la durée de celle-ci jusqu’au 13 août 2023 reste compatible avec le cadre légal, soit l’art. 79 LEI. Mal fondé, le recours sera donc rejeté.</w:t>
      </w:r>
    </w:p>
    <w:p>
      <w:r>
        <w:rPr>
          <w:b/>
        </w:rPr>
        <w:t>E. 4</w:t>
      </w:r>
    </w:p>
    <w:p>
      <w:r>
        <w:t>La procédure étant gratuite, aucun émolument ne sera perçu. Vu l’issue du litige,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