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A/1415/2024 vom 4. Oktober 2024</w:t>
      </w:r>
    </w:p>
    <w:p>
      <w:r>
        <w:t>GE Cour de justice, 2024-10-04, FR</w:t>
      </w:r>
    </w:p>
    <w:p>
      <w:r>
        <w:rPr>
          <w:b/>
        </w:rPr>
        <w:t xml:space="preserve">Quelle: </w:t>
      </w:r>
      <w:r>
        <w:t>https://mcp.opencaselaw.ch/entscheid/ge_gerichte_A_1415_2024</w:t>
      </w:r>
    </w:p>
    <w:p>
      <w:r>
        <w:t>FR: GE_GERICHTE A/1415/2024 du 4 octobre 2024</w:t>
      </w:r>
    </w:p>
    <w:p>
      <w:r>
        <w:t>IT: GE_GERICHTE A/1415/2024 del 4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 de trente jours – prévus par la loi, l'acte de recours est recevable (art. 56 ss LPGA et 62 ss de la loi sur la procédure administrative du 12 septembre 1985 [LPA - E 5 10]).</w:t>
      </w:r>
    </w:p>
    <w:p>
      <w:r>
        <w:rPr>
          <w:b/>
        </w:rPr>
        <w:t>E. 2</w:t>
      </w:r>
    </w:p>
    <w:p>
      <w:r>
        <w:t>Le recourant sollicite son audition ainsi que celle d’E______ et D______.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le recourant a valablement exercé son droit d'être entendu avant le prononcé de la décision querellée et a pu également exposer son point de vue et ses arguments dans son recours et sa réplique devant la chambre de céans. Il n’explique pas quels éléments utiles autres que ceux déjà exposés dans ses écritures permettraient d’apporter à la solution du litige. S’agissant de l’audition d’E______ et D______, force est de constater que les messages qu’ils ont échangés figurent au dossier, de même que le témoignage d’E______ devant le Tribunal des prud’hommes. Ces éléments suffisent à la chambre de céans pour se prononcer sur les griefs soulevés et trancher le litige en toute connaissance de cause, étant précisé que la valeur probante du témoignage d’E______ devrait en tout état être relativisée puisque, du propre aveu du recourant, « leur relation relève davantage de la fraternité que d’une simple amitié ». Les mesures probatoires requises ne seront donc pas administrées.</w:t>
      </w:r>
    </w:p>
    <w:p>
      <w:r>
        <w:rPr>
          <w:b/>
        </w:rPr>
        <w:t>E. 3</w:t>
      </w:r>
    </w:p>
    <w:p>
      <w:r>
        <w:t>Le litige porte sur le bien-fondé de la décision de l'intimée de nier le droit à une indemnité en cas d’insolvabilité du recourant à la suite de la faillite de l’employeur.</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74 de l’ordonnance sur l'assurance-chômage obligatoire et l'indemnité en cas d'insolvabilité du 31 août 1983 (ordonnance sur l’assurance-chômage, OACI ‑ RS 837.02 ; intitulé « vraisemblance des créances de salaire ») précise que la caisse – de chômage – n’est autorisée à verser une indemnité pour insolvabilité que lorsque le travailleur rend plausible sa créance de salaire envers l’employeur.</w:t>
      </w:r>
    </w:p>
    <w:p>
      <w:r>
        <w:rPr>
          <w:b/>
        </w:rPr>
        <w:t>E. 4.2</w:t>
      </w:r>
    </w:p>
    <w:p>
      <w:r>
        <w:t>Conformément à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 Selon l’art. 75a OACI, compte comme même rapport de travail au sens de l’art. 52 al. 1 LACI, également un rapport de travail que : les mêmes parties ont repris dans le délai d’un an (let. a), ou reconduisent dans le délai d’un an après une résiliation pour cause de modification des conditions du contrat (let. b). La durée de la période couverte par l’indemnité pour insolvabilité est de quatre mois d'un même rapport de travail, indépendamment de la survenance de plusieurs éléments déclencheurs du droit, par exemple un sursis concordataire suivi d’un prononcé de faillite (Message du Conseil fédéral relatif à la modification de la loi sur l’assurance‑chômage du 3 septembre 200, FF 2008 7029 ss, spéc. 7051).</w:t>
      </w:r>
    </w:p>
    <w:p>
      <w:r>
        <w:rPr>
          <w:b/>
        </w:rPr>
        <w:t>E. 4.3</w:t>
      </w:r>
    </w:p>
    <w:p>
      <w:r>
        <w:t>Selon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L’obligation de diminuer le dommage de l’art. 55 al. 1 LACI est fondée notamment sur l’idée que le comportement de l'assuré durant les rapports de travail, après la résiliation de ceux-ci, avant et après l'apparition du motif de versement de l'indemnité pour insolvabilité, peut influencer directement l'étendue de l'indemnisation (Boris RUBIN, Commentaire de la loi sur l'assurance-chômage, 2014, , n. 1 ad art. 55 LACI).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arrêts du Tribunal fédéral 8C_386/2023 du 6 décembre 2023 consid. 3.2 ; 8C_367/2022 du 7 octobre 2022 consid. 3.2 ; 8C_814/2021 du 21 avril 2022 consid. 2.2 ; 8C_408/2020 du 7 octobre 2020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(arrêts du Tribunal fédéral 8C_386/2023 précité consid. 3.2 ; 8C_367/2022 précité consid. 3.2 ; 8C_749/2016 du 22 novembre 2017 consid. 3.5.3 et les références). Il s'agit d'éviter que l'assuré reste inactif en attendant le prononcé de la faillite de son ex‑employeur (arrêts du Tribunal fédéral 8C_386/2023 précité consid. 3.2 ; 8C_367/2022 précité consid. 3.2 ; 8C_956/2012 du 19 août 2013 consid. 3). Pour qu'il y ait droit à une indemnité pour 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du Tribunal fédéral 8C_386/2023 précité consid. 3.2 ; 8C_367/2022 précité consid. 3.2 ; 8C_814/2021 précité consid. 2.2 ; 8C_408/2020 précité consid. 3).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 ATAS/380/2022 du 27 avril 2022 consid. 3.6, confirmé par l’arrêt du Tribunal fédéral 8C_367/2022 précité). Selon le Tribunal fédéral, de manière générale, l’assuré ne se conforme pas à son obligation de diminuer le dommage lorsqu’il n’a pas obtenu l’exécution du contrat par l’employeur pendant une période de plus de deux à trois mois, sans versement d’un acompte ou d’un paiement partiel, et qu’il ne peut pas tabler sur une amélioration de la situation, et qu’il n’existe pas de raisons objectives justifiant son attente (arrêt du Tribunal fédéral 8C_66/2011 du 29 août 2011 consid. 4.2 ; ATAS/380/2022 précité consid. 3.6, confirmé par l’arrêt du Tribunal fédéral 8C_367/2022 précité). En effet, on peut notamment considérer que, la période maximale couverte par l'indemnité en cas d'insolvabilité étant de quatre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(cf. Boris RUBIN, op. cit ., n. 12 ad art. 55 LACI).</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l’occurrence, il est constant qu’entre son licenciement le 15 juillet 2021 et la mise en demeure de son employeur le 9 mars 2022, le recourant s’est limité à envoyer un message Whatsapp à son employeur le 20 août 2021 pour lui réclamer le paiement de ses créances salariales. Il ne saurait ainsi être question d’une « poursuite systématique et continue des démarches engagées contre l’employeur », telle qu’exigée par la jurisprudence précitée. Devant la chambre de céans, le recourant se prévaut des nombreux messages adressés à l’employeur par son collègue et ami E______. Or, ainsi que l’a relevé l’autorité intimée, le recourant n’est pas inclus dans ses échanges. Quoi qu’en dise ce dernier, les messages envoyés par E______ ont été rédigés à la première personne du singulier : « j’aimerais savoir quand tu pourrais me régler la somme », « je me permets encore une fois de te demander de m’aider financièrement […] réfléchis comment tu pourrais faire, car j’en ai vraiment besoin […] trouve moi un arrangement qui nous convient à nous deux dans un plus bref délai s’il te plait […] tiens moi informé le plus vite possible », « est-ce qu’on peut se fixer un autre rendez-vous dans les plus brefs délais pour que tu puisses me payer au plus vite ». Au vu des termes clairs employés dans ces messages, il est possible de retenir, au degré de la vraisemblance prépondérante applicable en assurances sociales, qu’ils ont été rédigés au nom d’E______ uniquement. Aucun élément ne laisse penser que le recourant a été associé aux démarches entreprises par son collègue. Certes, à une reprise, l’intéressé a employé la troisième personne du singulier pour demander à son employeur si « on pouvait passer (chez lui) ». Or, outre qu’il n’est pas possible, sur la base de l’extrait produit par le recourant, de déterminer à qui le « on » fait référence, ce seul élément ne suffit pas pour en déduire que le recourant ait été associé à l’ensemble des échanges Whatsapp entre E______ et l’employeur. N’est pas non plus déterminant le fait que, comme le soutient le recourant, sa lettre de résiliation aurait été reçue sur la messagerie électronique de son collègue. De plus, en tant que le recourant fait valoir avoir procédé dans un premier temps à des appels téléphoniques, il perd de vue que, selon la jurisprudence constante, des interventions orales ne suffisent pas pour satisfaire à l'obligation de réduire le dommage (arrêts du Tribunal fédéral 8C_327/2020 du 17 juin 2020 consid. 6 ; 8C_956/2012 précité consid. 6 et les références). Quant au fait que l’intéressé ait été informé de l’avancement des démarches effectuées par son collègue, il ne change rien au fait qu’il n’y a pas personnellement participé. Enfin, la requête en conciliation auprès du Tribunal des prud'hommes, déposée le 13 avril 2022, soit neuf mois après le licenciement, ne s'avère pas non plus suffisante à l'aune de la jurisprudence précitée (cf. consid. 3.3 supra ). Les problèmes financiers, connus du recourant à tout le moins depuis la réception de sa lettre de licenciement, auraient dû l’inciter à entreprendre rapidement des démarches sérieuses en vue de de tenter de récupérer sa créance salariale. Il ne pouvait se contenter de rester inactif pendant plusieurs mois. C’est partant à juste titre que l’intimée a nié son droit aux prestations.</w:t>
      </w:r>
    </w:p>
    <w:p>
      <w:r>
        <w:rPr>
          <w:b/>
        </w:rPr>
        <w:t>E. 6</w:t>
      </w:r>
    </w:p>
    <w:p>
      <w:r>
        <w:t>Dans un deuxième grief, le recourant se plaint d’une violation du principe de l’égalité de traitement.</w:t>
      </w:r>
    </w:p>
    <w:p>
      <w:r>
        <w:rPr>
          <w:b/>
        </w:rPr>
        <w:t>E. 6.1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 142 V 316 consid. 6.1.1). Il y a notamment inégalité de traitement lorsque l'État accorde un privilège ou une prestation à une personne, mais dénie ceux-ci à une autre personne qui se trouve dans une situation comparable (ATF 140 I 201 consid. 6.5.1 et les arrêts cités).</w:t>
      </w:r>
    </w:p>
    <w:p>
      <w:r>
        <w:rPr>
          <w:b/>
        </w:rPr>
        <w:t>E. 6.2</w:t>
      </w:r>
    </w:p>
    <w:p>
      <w:r>
        <w:t>En l’occurrence, le recourant reproche à l’intimée d’avoir traité sa situation de manière différente de celle de son collègue E______. Les deux cas étaient toutefois comparables, tous deux ayant présenté le même argument s’agissant de l’accomplissement de l’obligation d’avoir diminué le dommage. Or, ainsi qu’il a été exposé supra , les deux situations ne sont pas comparables, puisque les nombreuses démarches pour récupérer les créances salariales ont été entreprises par E______ uniquement. S’ajoute à cela que l’intimée a indiqué, sans avoir été contredite sur ce point, qu’E______ avait rapidement envoyé une réquisition de poursuites, alors que le recourant avait attendu six mois après le jugement du Tribunal des prud’hommes pour ce faire. L’intéressé ne peut donc pas se prévaloir d'une inégalité de traitement, faute de situations comparables.</w:t>
      </w:r>
    </w:p>
    <w:p>
      <w:r>
        <w:rPr>
          <w:b/>
        </w:rPr>
        <w:t>E. 7</w:t>
      </w:r>
    </w:p>
    <w:p>
      <w:r>
        <w:t>Les considérants qui précèdent conduisent au rejet du recours et à la confirmation de la décision entreprise. La procédure est gratuite (art. 89H al. 1 LPA et vu l'art.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