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A/1410/2012 vom 26. März 2012</w:t>
      </w:r>
    </w:p>
    <w:p>
      <w:r>
        <w:t>GE Cour de justice, 2012-03-26, FR</w:t>
      </w:r>
    </w:p>
    <w:p>
      <w:r>
        <w:rPr>
          <w:b/>
        </w:rPr>
        <w:t xml:space="preserve">Quelle: </w:t>
      </w:r>
      <w:r>
        <w:t>https://mcp.opencaselaw.ch/entscheid/ge_gerichte_A_1410_2012</w:t>
      </w:r>
    </w:p>
    <w:p>
      <w:r>
        <w:t>FR: GE_GERICHTE A/1410/2012 du 26 mars 2012</w:t>
      </w:r>
    </w:p>
    <w:p>
      <w:r>
        <w:t>IT: GE_GERICHTE A/1410/2012 del 26 marzo 2012</w:t>
      </w:r>
    </w:p>
    <w:p>
      <w:pPr>
        <w:pStyle w:val="Heading2"/>
      </w:pPr>
      <w:r>
        <w:t>Volltext</w:t>
      </w:r>
    </w:p>
    <w:p>
      <w:r>
        <w:t>Genève Cour de justice (Cour de droit public) Chambre des assurances sociales 01.06.2012 A/1410/2012</w:t>
      </w:r>
    </w:p>
    <w:p>
      <w:r>
        <w:t>A/1410/2012 ATAS/760/2012 du 01.06.2012 ( PC ) RÉPUBLIQUE ET CANTON DE GENÈVE POUVOIR JUDICIAIRE A/1410/2012 ATAS/760/2012 COUR DE JUSTICE Chambre des assurances sociales Arrêt incident du 1 er juin 2012 5ème Chambre En la cause Monsieur G__________, à GENEVE, comparant avec élection de domicile en l'étude de Maître FAUCONNET Guillaume recourant contre SERVICE DES PRESTATIONS COMPLEMENTAIRES, sis route de Chêne 54, Genève intimé Vu la décision sur opposition du 26 mars 2012 du Service des prestations complémentaires ; Vu le recours du 11 mai 2012 de Monsieur G__________ ; Attendu que le recourant conclut, préalablement, à l'octroi de l’effet suspensif au recours ; Que l’intimé conclut, dans son préavis du 29 mai 2012, au rejet du recours, tout en relevant que la demande en restitution de l’effet suspensif est sans objet, l’effet suspensif n’ayant pas été retiré au recours contre la décision sur opposition querellée ; Attendu qu’il convient effectivement de constater que l’intimé n’a pas retiré l’effet suspensif au recours contre sa décision du 26 mars 2012 ; Que cette demande est dès lors sans objet; PAR CES MOTIFS, LA CHAMBRE DES ASSURANCES SOCIALES : Statuant sur incident Déclare la demande de restitution de l’effet suspensif sans objet. Réserve le fond.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