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A/140/2012 vom 15. Oktober 2012</w:t>
      </w:r>
    </w:p>
    <w:p>
      <w:r>
        <w:t>GE Cour de justice, 2012-10-15, FR</w:t>
      </w:r>
    </w:p>
    <w:p>
      <w:r>
        <w:rPr>
          <w:b/>
        </w:rPr>
        <w:t xml:space="preserve">Quelle: </w:t>
      </w:r>
      <w:r>
        <w:t>https://mcp.opencaselaw.ch/entscheid/ge_gerichte_A_140_2012</w:t>
      </w:r>
    </w:p>
    <w:p>
      <w:r>
        <w:t>FR: GE_GERICHTE A/140/2012 du 15 octobre 2012</w:t>
      </w:r>
    </w:p>
    <w:p>
      <w:r>
        <w:t>IT: GE_GERICHTE A/140/2012 del 15 ottobre 2012</w:t>
      </w:r>
    </w:p>
    <w:p>
      <w:pPr>
        <w:pStyle w:val="Heading2"/>
      </w:pPr>
      <w:r>
        <w:t>Erwägungen</w:t>
      </w:r>
    </w:p>
    <w:p>
      <w:r>
        <w:rPr>
          <w:b/>
        </w:rPr>
        <w:t>E. 3</w:t>
      </w:r>
    </w:p>
    <w:p>
      <w:r>
        <w:t>En l'espèce, il n'est pas contesté que l'état de santé de la recourante lui rend impossible l'ouverture de la porte de son studio sans le recours à la télécommande. L'attestation établie par le Dr L__________ emporte la conviction sur ce point; elle n'est au demeurant pas remise en cause par l'assurance. Par ailleurs, il est manifeste et non contesté que l'émetteur litigieux constitue un moyen auxiliaire au sens de l'art. 21 LAI. Il est, en outre, ressorti des enquêtes que l'émetteur litigieux recèle un caractère personnel prépondérant, puisqu'il a été adapté aux besoins spécifiques de la recourante et qu'elle pourrait l'emporter en cas de déménagement et l'utiliser ailleurs. Cela étant, la jurisprudence fédérale a précisé que la notion " établir des contacts avec son entourage" figurant au chiffre 15.05 de la liste OMAI ne couvre pas la possibilité de quitter l'appartement, mais uniquement d'établir des contacts avec l'entourage depuis celui-ci. La jurisprudence a ainsi considéré que l'ouvre-porte d'un appartement n'entrait pas dans la liste des appareils de contrôle de l'environnement à charge de l'AI. Dans la mesure où la liste contenue dans l’annexe à OMAI est exhaustive et qu'elle limite la prise en charge de moyens de contrôle de l'environnement " au lieu d’habitation" et pour autant qu'ils permettent d'entrer en contact avec l'entourage en demeurant dans celui-ci , la Cour ne peut élargir le champ d'application visé par l'OMAI. A cet argument s'ajoute le fait que la télécommande coûte 171 fr. 10, soit un montant en dessous du seuil de 400 fr. pour lequel il est généralement admis que le moyen auxiliaire est à la charge de l'assuré. La décision de refus de l'intimé était, partant, justifiée. Le recours sera ainsi rejeté.</w:t>
      </w:r>
    </w:p>
    <w:p>
      <w:r>
        <w:rPr>
          <w:b/>
        </w:rPr>
        <w:t>E. 4</w:t>
      </w:r>
    </w:p>
    <w:p>
      <w:r>
        <w:t>Conformément à l’art. 69 al. 1bis LAI, un émolument de 200 fr. est mis à la charge de la recourante, qui succombe. * * *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