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A/1407/2019 vom 8. Mai 2019</w:t>
      </w:r>
    </w:p>
    <w:p>
      <w:r>
        <w:t>GE Cour de justice, 2019-05-08, FR</w:t>
      </w:r>
    </w:p>
    <w:p>
      <w:r>
        <w:rPr>
          <w:b/>
        </w:rPr>
        <w:t xml:space="preserve">Quelle: </w:t>
      </w:r>
      <w:r>
        <w:t>https://mcp.opencaselaw.ch/entscheid/ge_gerichte_A_1407_2019</w:t>
      </w:r>
    </w:p>
    <w:p>
      <w:r>
        <w:t>FR: GE_GERICHTE A/1407/2019 du 8 mai 2019</w:t>
      </w:r>
    </w:p>
    <w:p>
      <w:r>
        <w:t>IT: GE_GERICHTE A/1407/2019 del 8 maggio 2019</w:t>
      </w:r>
    </w:p>
    <w:p>
      <w:pPr>
        <w:pStyle w:val="Heading2"/>
      </w:pPr>
      <w:r>
        <w:t>Erwägungen</w:t>
      </w:r>
    </w:p>
    <w:p>
      <w:r>
        <w:rPr>
          <w:b/>
        </w:rPr>
        <w:t>E. 1</w:t>
      </w:r>
    </w:p>
    <w:p>
      <w:r>
        <w:t>Le 4 novembre 2015, le Conseil d'État a déposé auprès du Grand Conseil un projet de loi (ci-après : PL) sur la laïcité de l'État, enregistré sous numéro PL 11764.![endif]&gt;![if&gt;</w:t>
      </w:r>
    </w:p>
    <w:p>
      <w:r>
        <w:rPr>
          <w:b/>
        </w:rPr>
        <w:t>E. 2</w:t>
      </w:r>
    </w:p>
    <w:p>
      <w:r>
        <w:t>Lors de la séance plénière du 3 décembre 2015, le PL 11764 a été renvoyé sans débat à la commission des Droits de l'Homme du Grand Conseil.![endif]&gt;![if&gt;</w:t>
      </w:r>
    </w:p>
    <w:p>
      <w:r>
        <w:rPr>
          <w:b/>
        </w:rPr>
        <w:t>E. 3</w:t>
      </w:r>
    </w:p>
    <w:p>
      <w:r>
        <w:t>Le 6 mars 2018, la commission parlementaire précitée a rendu son rapport sur le PL 11764 ainsi que sur trois autres projets, rapport totalisant, avec les annexes, 801 pages. Pour le PL 11764 avaient été rédigés un rapport de majorité ainsi que deux rapports de minorité.![endif]&gt;![if&gt;</w:t>
      </w:r>
    </w:p>
    <w:p>
      <w:r>
        <w:rPr>
          <w:b/>
        </w:rPr>
        <w:t>E. 4</w:t>
      </w:r>
    </w:p>
    <w:p>
      <w:r>
        <w:t>Lorsqu’ils siègent en séance plénière, ou lors de représentations officielles, les membres du Grand Conseil et des Conseils municipaux s’abstiennent de signaler leur appartenance religieuse par des signes extérieurs.</w:t>
      </w:r>
    </w:p>
    <w:p>
      <w:r>
        <w:rPr>
          <w:b/>
        </w:rPr>
        <w:t>E. 5</w:t>
      </w:r>
    </w:p>
    <w:p>
      <w:r>
        <w:t>Les agents de l’État, soit ceux du canton, des communes et des personnes morales de droit public, observent cette neutralité religieuse dans le cadre de leurs fonctions et, lorsqu’ils sont en contact avec le public, ils s’abstiennent de signaler leur appartenance religieuse par des propos ou des signes extérieurs.</w:t>
      </w:r>
    </w:p>
    <w:p>
      <w:r>
        <w:rPr>
          <w:b/>
        </w:rPr>
        <w:t>E. 6</w:t>
      </w:r>
    </w:p>
    <w:p>
      <w:r>
        <w:t>Le 16 mai 2018, quatre comités différents ont lancé un référendum contre la LLE.![endif]&gt;![if&gt;</w:t>
      </w:r>
    </w:p>
    <w:p>
      <w:r>
        <w:rPr>
          <w:b/>
        </w:rPr>
        <w:t>E. 7</w:t>
      </w:r>
    </w:p>
    <w:p>
      <w:r>
        <w:t>Le 20 juin 2018, environ 8’300 signatures ont été déposées par lesdits comités à l'appui de leur demande de référendum.![endif]&gt;![if&gt;</w:t>
      </w:r>
    </w:p>
    <w:p>
      <w:r>
        <w:rPr>
          <w:b/>
        </w:rPr>
        <w:t>E. 8</w:t>
      </w:r>
    </w:p>
    <w:p>
      <w:r>
        <w:t>Par arrêté publié dans la FAO le 7 septembre 2018, le Conseil d'État a constaté l'aboutissement du référendum.![endif]&gt;![if&gt;</w:t>
      </w:r>
    </w:p>
    <w:p>
      <w:r>
        <w:rPr>
          <w:b/>
        </w:rPr>
        <w:t>E. 9</w:t>
      </w:r>
    </w:p>
    <w:p>
      <w:r>
        <w:t>Lors de la votation populaire s'étant tenue le 10 février 2019, la LLE a été acceptée à une majorité de 55,05 % des votants.![endif]&gt;![if&gt;</w:t>
      </w:r>
    </w:p>
    <w:p>
      <w:r>
        <w:rPr>
          <w:b/>
        </w:rPr>
        <w:t>E. 10</w:t>
      </w:r>
    </w:p>
    <w:p>
      <w:r>
        <w:t>Ces résultats ont été validés par arrêté du Conseil d'État publié dans la FAO du 1 er mars 2019.![endif]&gt;![if&gt;</w:t>
      </w:r>
    </w:p>
    <w:p>
      <w:r>
        <w:rPr>
          <w:b/>
        </w:rPr>
        <w:t>E. 11</w:t>
      </w:r>
    </w:p>
    <w:p>
      <w:r>
        <w:t>L'arrêté de promulgation de la LLE a été publié dans la FAO du 8 mars 2019, si bien que la loi est entrée en vigueur, conformément à son art. 13, le lendemain, soit le 9 mars 2019.![endif]&gt;![if&gt;</w:t>
      </w:r>
    </w:p>
    <w:p>
      <w:r>
        <w:rPr>
          <w:b/>
        </w:rPr>
        <w:t>E. 12</w:t>
      </w:r>
    </w:p>
    <w:p>
      <w:r>
        <w:t>Par acte déposé le 10 avril 2019, le parti politique SolidaritéS, de même que Mesdames A______, B______, C______ et Monsieur D______ ont interjeté recours auprès de la chambre constitutionnelle de la Cour de justice (ci-après : la chambre constitutionnelle) contre la LLE, concluant principalement à l'annulation de ses art. 3 al. 3 à 5, 6 al. 1 et 2 et 7 al. 1 et 2 ainsi qu'à l'octroi de l'effet suspensif à leur recours.![endif]&gt;![if&gt; S'agissant de l'effet suspensif, ils avaient un intérêt prépondérant à ce que leur recours soit assorti de l'effet suspensif, en tant que les articles de loi querellés comportaient des restrictions graves à leurs libertés individuelles et fondamentales. En particulier, Mme A______, apprentie en information documentaire auprès de la commune E______ et liée par contrat jusqu'au 23 août 2019, avait un intérêt actuel à pouvoir continuer à se rendre sur son lieu de travail comme à son habitude avant la promulgation de la LLE.</w:t>
      </w:r>
    </w:p>
    <w:p>
      <w:r>
        <w:rPr>
          <w:b/>
        </w:rPr>
        <w:t>E. 13</w:t>
      </w:r>
    </w:p>
    <w:p>
      <w:r>
        <w:t>Le 2 mai 2019, le Grand Conseil a conclu au rejet de la demande de restitution de l'effet suspensif.![endif]&gt;![if&gt; La règle en matière de contrôle abstrait des normes était l'absence d'effet suspensif. En l'espèce, les atteintes redoutées par les recourants étaient purement virtuelles et reposaient sur des hypothèses. Au surplus, ces atteintes ne concernaient, quoi qu'il en fût, que certaines des dispositions visées et non l'ensemble de celles-ci. Les art. 3, 6 et 7 LLE ne menaçaient en rien l'activité d'apprentie de Mme A______. Enfin, les précédents jurisprudentiels existants ne permettaient pas d'admettre que les chances de succès du recours étaient manifestes.</w:t>
      </w:r>
    </w:p>
    <w:p>
      <w:r>
        <w:rPr>
          <w:b/>
        </w:rPr>
        <w:t>E. 14</w:t>
      </w:r>
    </w:p>
    <w:p>
      <w:r>
        <w:t>Sur ce, la cause a été gardée à juger sur la question de l'effet suspensif et des mesures provisionnelles.![endif]&gt;![if&gt; Considérant, en droit, que : 1. L’examen de la recevabilité du recours est reporté à l'arrêt au fond, étant précisé qu’il n’apparaît pas prima facie que les conditions de recevabilité ne seraient pas remplies.![endif]&gt;![if&gt; 2. a. Selon l’art. 66 LPA, en cas de recours contre une loi constitutionnelle, une loi ou un règlement du Conseil d’État, le recours n’a pas d'effet suspensif (al. 2) ; toutefois, lorsqu'aucun intérêt public ou privé prépondérant ne s’y oppose, la juridiction de recours peut, sur la demande de la partie dont les intérêts sont gravement menacés, restituer l’effet suspensif (al. 3). D’après l'exposé des motifs du projet de loi portant mise en œuvre de la chambre constitutionnelle, en matière de recours abstrait, l’absence d’effet suspensif automatique se justifie afin d’éviter que le dépôt d’un recours bloque le processus législatif ou réglementaire, la chambre constitutionnelle conservant toute latitude pour restituer, totalement ou partiellement, l'effet suspensif lorsque les conditions légales de cette restitution sont données (PL 11311, p. 15). ![endif]&gt;![if&gt; b.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Pour effectuer la pesée des intérêts en présence (arrêt du Tribunal fédéral 8C_239/2014 du 14 mai 2014 consid. 4.1), l'autorité de recours n'est pas tenue de procéder à des investigations supplémentaires, mais peut statuer sur la base des pièces en sa possession (ATF 117 V 185 consid. 2b ; arrêt du Tribunal fédéral 1C_435/2008 du 6 février 2009 consid. 2.3 et les arrêts cités). 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 En matière de contrôle abstrait des normes, l’octroi de l’effet suspensif suppose en outre, en principe, que les chances de succès du recours apparaissent manifestes (Stéphane GRODECKI/Romain JORDAN, Code annoté de procédure administrative genevoise, 2017, n. 835 ss ; Claude-Emmanuel DUBEY, La procédure de recours devant le Tribunal fédéral, in François BELLANGER/ Thierry TANQUEREL [éd.], Le contentieux administratif, 2013, 137-178, p. 167). 3. a. En l’espèce, l'effet suspensif a déjà été octroyé par la chambre de céans concernant l'art. 3 al. 4 LLE. La demande est donc sans objet en ce qu'elle concerne cette disposition.![endif]&gt;![if&gt; b. S'agissant des art. 3 al. 3, 6 al. 1 et 2 et 7 al. 1 et 2 LLE, les recourants ne font valoir aucune situation concrète qui justifierait l'urgence, nécessaire à l'octroi de l'effet suspensif. c. S'agissant de l'art. 3 al. 5 LLE, seul le cas de Mme A______ est mis en exergue. Son contrat d'apprentissage a toutefois été signé par la commune E______ en 2016, avec un terme fixe en août 2019, et aucun élément ne vient étayer une quelconque mise en danger de sa situation professionnelle, si bien que l'urgence ne peut pas non plus être retenue en ce qui la concerne. En outre, en matière de restrictions à la liberté religieuse des agents publics liées à l'interdiction du port de vêtements ou autres signes extérieurs, la jurisprudence existante du Tribunal fédéral – bien qu'elle soit circonscrite en l'état à certains domaines particuliers de la fonction publique – tend à autoriser lesdites restrictions (ATF 123 I 296 ; arrêt du Tribunal fédéral 2C_546/2018 du 11 mars 2019), si bien que les chances de succès du recours sur ce point n'apparaissent prima facie pas suffisamment manifestes pour permettre un octroi de l'effet suspensif au recours. d. Il s'ensuit que la demande d'octroi de l'effet suspensif sera rejetée en tant qu'elle n'est pas sans objet. 4. Le sort des frais sera quant à lui réservé jusqu'à droit jugé au fond.![endif]&gt;![if&gt; LA CHAMBRE CONSTITUTIONNELLE constate que la requête d'effet suspensif est sans objet en tant qu'elle porte sur l'art. 3 al. 4 LLE ; refuse pour le surplus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aux recourants ainsi qu'au Grand Conseil. Le président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