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A/1397/2023 vom 16. Juli 2024</w:t>
      </w:r>
    </w:p>
    <w:p>
      <w:r>
        <w:t>GE Cour de justice, 2024-07-16, FR</w:t>
      </w:r>
    </w:p>
    <w:p>
      <w:r>
        <w:rPr>
          <w:b/>
        </w:rPr>
        <w:t xml:space="preserve">Quelle: </w:t>
      </w:r>
      <w:r>
        <w:t>https://mcp.opencaselaw.ch/entscheid/ge_gerichte_A_1397_2023</w:t>
      </w:r>
    </w:p>
    <w:p>
      <w:r>
        <w:t>FR: GE_GERICHTE A/1397/2023 du 16 juillet 2024</w:t>
      </w:r>
    </w:p>
    <w:p>
      <w:r>
        <w:t>IT: GE_GERICHTE A/1397/2023 del 16 luglio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Interjeté dans la forme et le délai prévus par la loi, compte tenu de la suspension des délais du 7 e jour avant Pâques au 7 e jour après Pâques inclusivement (art. 38 al. 4 let. a LPGA et art. 89C let. a LPA), le recours est recevable.</w:t>
      </w:r>
    </w:p>
    <w:p>
      <w:r>
        <w:rPr>
          <w:b/>
        </w:rPr>
        <w:t>E. 2.1</w:t>
      </w:r>
    </w:p>
    <w:p>
      <w:r>
        <w:t>Le 1 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 En l’occurrence, la décision litigieuse rendue après le 1 er janvier 2022 porte sur une modification des circonstances survenue avant cette date, conformément à l’art. 88 a RAI. Par conséquent, les dispositions applicables seront citées dans leur teneur en vigueur jusqu’au 31 décembre 2021.</w:t>
      </w:r>
    </w:p>
    <w:p>
      <w:r>
        <w:rPr>
          <w:b/>
        </w:rPr>
        <w:t>E. 3</w:t>
      </w:r>
    </w:p>
    <w:p>
      <w:r>
        <w:t>Le litige porte sur le bien-fondé du refus de l’intimé d’octroyer une demi-rente en lieu et place d’un quart de rente au recourant en raison de son atteinte orthopédique, singulièrement sur l’existence d’un motif de révision pour la période du 1 er juillet 2016 au 30 juin 2017.</w:t>
      </w:r>
    </w:p>
    <w:p>
      <w:r>
        <w:rPr>
          <w:b/>
        </w:rPr>
        <w:t>E. 4.1</w:t>
      </w:r>
    </w:p>
    <w:p>
      <w:r>
        <w:t>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w:t>
      </w:r>
    </w:p>
    <w:p>
      <w:r>
        <w:rPr>
          <w:b/>
        </w:rPr>
        <w:t>E. 4.2</w:t>
      </w:r>
    </w:p>
    <w:p>
      <w:r>
        <w:t>À teneur de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demande de révision.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Ces principes sont également applicables en matière de révision.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S’agissant de l’art. 29bis RAI réservé à l’art. 88a al. 2 RAI, il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cité, celle qui a précédé le premier octroi. L’application par analogie de cet article dans le cadre de l’art. 88a al. 2 RAI implique que lorsqu’il y a aggravation de la même atteinte à la santé, celle-ci peut conduire à une rente supérieure avant l’échéance du délai de trois mois (cf. VALTERIO, Commentaire de la loi fédérale sur l’assurance- -invalidité [AI], 2018, n° 37 ad Art. 31 ; MEYER/ REICHMUTH, op. cit., n° ch. 26 ad art. 29). Il faut alors que le délai d’une année de l’actuel art. 28 al. 1 let. b LAI pour la rente plus élevée soit déjà écoulé auparavant (arrêt du Tribunal fédéral I 11/00 cité consid. 3, surtout 3d).</w:t>
      </w:r>
    </w:p>
    <w:p>
      <w:r>
        <w:rPr>
          <w:b/>
        </w:rPr>
        <w:t>E. 4.2.1</w:t>
      </w:r>
    </w:p>
    <w:p>
      <w:r>
        <w:t>L’incapacité de gain peut s’aggraver par la survenance d’une nouvelle maladie ou par la détérioration de l’atteinte préexistante ainsi que par un changement de statut de l’assuré (ch. 4007 de la Circulaire sur l’invalidité et l’impotence dans l’assurance-invalidité (CIIAI), dans sa teneur en vigueur au cours de la période litigieuse).</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5.2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5.3</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w:t>
      </w:r>
    </w:p>
    <w:p>
      <w:r>
        <w:rPr>
          <w:b/>
        </w:rPr>
        <w:t>E. 5.4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6.1</w:t>
      </w:r>
    </w:p>
    <w:p>
      <w:r>
        <w:t>En l’espèce, le 28 janvier 2002, l’assuré a saisi l’OAI d’une demande de prestations en raison d’une atteinte aux mains, en raison de laquelle il ne pouvait pas effectuer certaines activités, telles que la manipulation de verres de contact (cf. avis du SMR du 13 mars 2006). Selon le rapport d’enquête pour activité professionnelle du 16 mai 2006, l’assuré apparaissait comme « repoussant » vis-à-vis des nouveaux clients et sa femme le remplaçait aussi souvent que possible lorsqu’il s’agissait d’accueillir les nouveaux clients et de les conseiller ou renseigner, de sorte qu’une incapacité de travail de 30% a été retenue dans l’activité de direction, exercée 50% du temps. Par ailleurs, la manipulation de petits objets, tels que les verres de contact, les verres de lunettes, etc., était devenue particulièrement problématique pour l’assuré, qui ressentait des douleurs, ce qui rendait le travail de précision plus difficile. Ses doigts saignaient régulièrement lorsqu’il appliquait une certaine pression. L’OAI a donc retenu une incapacité de travail de 50% dans l’activité qu’il a intitulée « atelier &amp; examen » exercée 50% du temps. La comparaison des champs d’activités pour le métier d’opticien indépendant menait à une incapacité de travail pondérée de 40% et la comparaison des revenus selon la méthode ordinaire conduisait à un degré d’invalidité de 45%. Au vu des conclusions de l’enquête précitée, l’OAI a, par décision du 6 octobre 2006, mis l’assuré au bénéfice d’un quart de rente dès le 1 er janvier 2001, le degré d’invalidité retenu étant de 45%. Dans l’ ATAS/696/2022 du 9 août 2022, la chambre de céans a considéré que l’intimé n’avait appliqué qu’en partie la méthode extraordinaire de comparaison des revenus, se limitant à comparer les champs d’activités, sans apprécier, dans un deuxième temps, les effets de ces empêchements sur la capacité de gain. Si l’intimé avait effectivement appliqué la méthode extraordinaire, il aurait constaté que le recourant présentait en réalité un degré d’invalidité inférieur à 40%. Dans le cas du recourant, la diminution générale de rendement de 40% n’avait ainsi pas entraîné une perte de gain de même importance, étant donné que la rémunération relative aux domaines d’activités retenus n’était pas identique. Toutefois, en raison de la prescription d’une éventuelle demande de restitution, la chambre de céans avait renoncé à une reformatio in peius . En sus de l’atteinte aux mains, l’assuré a été victime d’un accident le 1 er juillet 2016, lequel a entraîné une rupture complète du muscle droit antérieur de la cuisse gauche, au détriment de sa jonction myo-aponévrotique distale avec rétractation de la masse musculaire en amont et présence d’un hématome en voie d’organisation (cf. rapport de l’échographie de la cuisse gauche du 15 juillet 2016). Afin de pouvoir statuer sur la continuation de son obligation de prester, l’assureur-accidents a mandaté, pour expertise, le Dr F______, lequel a notamment retenu, dans son rapport du 22 mars 2017, que la capacité de travail dans l’activité habituelle était de 75% dès le 1 er avril 2017 et de 100% dès le 1 er juillet 2017. Le médecin précité ne s’est toutefois pas prononcé sur la capacité de travail antérieurement à son examen, mais a relevé, dans son anamnèse, que le recourant avait repris son activité à 20% le 1 er août et à 50% dès le mois d’octobre 2016. Il a également précisé que lors de la reprise de son activité, en octobre 2016, le recourant avait adapté ses horaires et qu’il ne travaillait plus que de 10h à 12h30 et de 16h à 18h30, alors qu’auparavant, il était présent de 8h à 13h et de 14h à 19h. Constatant que le recourant avait été incapable de travailler du 1 er juillet 2016 au 30 juin 2017, totalement ou partiellement, la chambre de céans a invité l’OAI à examiner les répercussions de l’atteinte somatique sur l’activité professionnelle du recourant dans son arrêt du 9 août 2022 (cf. ATAS/696/2022 du 9 août 2022, consid. 12.5).</w:t>
      </w:r>
    </w:p>
    <w:p>
      <w:r>
        <w:rPr>
          <w:b/>
        </w:rPr>
        <w:t>E. 6.2</w:t>
      </w:r>
    </w:p>
    <w:p>
      <w:r>
        <w:t>Sur renvoi de la cause, l’OAI s’est entretenu avec le recourant en date du 1 er décembre 2022 et a consigné ses déclarations dans un rapport du 5 décembre 2022. Il en ressort notamment que le recourant travaillait seul au moment de l’accident de juillet 2016, mais avec une réduction des heures d’ouverture. Son épouse venait de temps à autre lui donner un coup de main, mais c’était lui qui s’occupait principalement de son activité. Son épouse, qui était au bénéfice seulement d’une formation d’opticienne, n’était pas habilitée à faire des travaux de mesures, mais elle pouvait uniquement conseiller la clientèle. Au moment de l’accident, l’assuré n’avait pas modifié son temps de travail ni ses activités. Il avait continué à tenir son horaire réduit, correspondant à un 50%. Durant la période d’aggravation, il n’y avait pas eu de modifications supplémentaires, si ce n’est la réduction du temps d’ouverture du magasin. Le magasin était donc ouvert 32 heures par semaine, ce qui correspondait à une diminution du temps de travail de 36%, comparé à l’horaire hebdomadaire moyen de 50 heures. Étant donné que les limitations supplémentaires n’avaient pas engendré de modifications ou adaptations particulières de l’activité de l’assuré, il n’y avait pas lieu de procéder à un nouveau calcul du préjudice économique, étant donné que la situation était restée identique. Le degré d’invalidité de 36%, tel qu’il ressortait de la comparaison des revenus selon la méthode extraordinaire, devait donc être maintenu pendant la période litigieuse également. Se fondant sur ce rapport, l’OAI a refusé d’augmenter la rente d’invalidité, par projet de décision du 6 décembre 2022, confirmé par décision du 16 mars 2023. Dans son écriture du 12 juillet 2023, le recourant conteste la position de l’intimé à plusieurs égards. Il relève tout d’abord qu’un changement de profession ne pouvait être exigé de sa part, ce d’autant moins que l’intimé y avait renoncé. Ensuite, il constate que le degré d’invalidité auquel il conclut se recouvre avec le taux d’incapacité de travail, à savoir 50%. Enfin, il estime que si la méthode extraordinaire devait absolument être appliquée, il conviendrait d’évaluer chacune des tâches de son activité professionnelle en analysant les entraves en temps et rendement.</w:t>
      </w:r>
    </w:p>
    <w:p>
      <w:r>
        <w:rPr>
          <w:b/>
        </w:rPr>
        <w:t>E. 6.3</w:t>
      </w:r>
    </w:p>
    <w:p>
      <w:r>
        <w:t>À titre liminaire, l’on relèvera que dans la décision querellée, l’intimé n’exigeait pas du recourant qu’il change de profession. Quant à l’instruction complémentaire menée, force est de constater que lors de son audition, le recourant a lui-même déclaré qu’il n’avait pas modifié son temps de travail ni ses activités et a indiqué qu’il avait continué à la suite de son accident à tenir son horaire réduit, à savoir du lundi au jeudi de 10h à 12h30 et de 14h à 18h et le vendredi de 10h à 16h, le magasin étant fermé les samedis et dimanche. C’est ainsi à raison que l’intimé a constaté que malgré les limitations fonctionnelles supplémentaires dues à l’accident, le recourant n’avait pas modifié sa façon de travailler, exerçant toujours son activité habituelle à 50%. La décision attaquée ne prête dès lors pas le flanc à la critique. Le recours ne peut qu’être rejeté. Un émolument de CHF 200.- sera mis à la charge du recourant.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