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A/1396/2000 vom 31. März 2006</w:t>
      </w:r>
    </w:p>
    <w:p>
      <w:r>
        <w:t>GE Cour de justice, 2006-03-31, FR</w:t>
      </w:r>
    </w:p>
    <w:p>
      <w:r>
        <w:rPr>
          <w:b/>
        </w:rPr>
        <w:t xml:space="preserve">Quelle: </w:t>
      </w:r>
      <w:r>
        <w:t>https://mcp.opencaselaw.ch/entscheid/ge_gerichte_A_1396_2000</w:t>
      </w:r>
    </w:p>
    <w:p>
      <w:r>
        <w:t>FR: GE_GERICHTE A/1396/2000 du 31 mars 2006</w:t>
      </w:r>
    </w:p>
    <w:p>
      <w:r>
        <w:t>IT: GE_GERICHTE A/1396/2000 del 31 marzo 2006</w:t>
      </w:r>
    </w:p>
    <w:p>
      <w:pPr>
        <w:pStyle w:val="Heading2"/>
      </w:pPr>
      <w:r>
        <w:t>Erwägungen</w:t>
      </w:r>
    </w:p>
    <w:p>
      <w:r>
        <w:rPr>
          <w:b/>
        </w:rPr>
        <w:t>E. 5</w:t>
      </w:r>
    </w:p>
    <w:p>
      <w:r>
        <w:t>juges, dont un président et un vice-président, 5 suppléants et 16 juges assesseurs (art. 1 let. r et 56 T LOJ). Conformément à l’art. 3 al. 3 des dispositions transitoires de la loi du 14 novembre 2002 modifiant la LOJ, les causes introduites avant l’entrée en vigueur de la loi précitée et pendantes devant la Commission cantonale de recours en matière d’AVS-AI ont été transmises d’office au Tribunal cantonal des assurances sociales, qui statue en instance unique, dans la composition prévue par l’art. 162 LOJ, adoptée le 13 février 2004. La compétence du Tribunal de céans est dès lors établie pour trancher du présent litige. La loi fédérale sur la partie générale du droit des assurances sociales (LPGA) du 6 octobre 2000, entrée en vigueur le 1 er janvier 2003, n’est pas applicable en l’espèce, eu égard au principe selon lequel les règles applicables sont celles en vigueur au moment où les faits juridiquement déterminants se sont produits, le juge des assurances sociales se fondant sur l’état de fait réalisé à la date déterminante des décisions litigieuses du 16 novembre 2000 (ATF 130 V 230 consid. 1.1 ; 129 V 4 consid. 1.2 et les références). Interjeté dans les formes et délai légaux, le recours est recevable (art. 69 LAI dans son ancienne teneur). En l’espèce, le litige porte sur le droit de l’OCAI de modifier rétroactivement le montant de la rente du recourant, suite à l’octroi d’une rente d’invalidité à son épouse avec effet au 1 er décembre 1996. Le recourant invoque préalablement le défaut de motivation des deux décisions querellées. A teneur de l’art. 75 al. 3 aRAI, les décisions doivent être motivées suffisamment et en des termes à la portée de chacun. L’intéressé doit être mis au courant du raisonnement effectué par l’administration, savoir comment elle tire ses conclusions juridiques à partir de l’état de fait, ce qui permet également à l’intéressé d’apprécier si l’administration se base sur des critères objectifs pour trancher (ATF 124 V 181 ). En l’espèce, les deux décisions mentionnent expressément qu’elles sont rendues en raison de la survenance de l’invalidité de l’épouse du recourant, fait qui modifie les montants des rentes octroyées à ce dernier dès le 1 er décembre 1996. Ces décisions font état des compensations opérées et spécifient que des décisions de restitution des soldes dus à l’intimé seront ultérieurement notifiées. La motivation est certes succincte mais elle permet à l’intéressé de réaliser que l’octroi d’une rente d’invalidité à son épouse modifie également le montant de sa rente de façon rétroactive. Les montants compensés sont expressément indiqués. Dès lors, le Tribunal de céans retiendra que l’art. 75 al. 3 aRAI n’a pas été violé par l’intimé. Ensuite, le recourant conteste l’existence d’un motif de révision ou de reconsidération permettant à l’intimé de rendre de nouvelles décisions suite à la survenance de l’invalidité de F__________ W__________.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469 consid. 2c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 ATF 122 V 134 ). Lorsque deux conjoints ont droit à une rente d’invalidité, l’art. 37 al. 1bis aLAI renvoie à l’art. 35 aLAVS, applicable par analogie. A teneur de cette disposition, la somme des deux rentes pour un couple peut s’élever au plus à 150 % du montant maximum de la rente de vieillesse. In casu, le fait que Madame W__________, jusqu’alors bénéficiaire d’une rente complémentaire, se voit octroyer une rente d’invalidité avec effet au 1 er décembre 1996, modifie sans nul doute la situation des époux W__________. Ce fait, qui existait déjà à l’époque mais qui n’a pu être reconnu par l’OCAI qu’au terme de l’instruction du dossier de l'intéressée, soit en 2000, est indéniablement un fait important de nature à modifier le montant des rentes accordées précédemment au mari. Il s’agit d’un motif de révision procédurale (ATF 108 V 171 consid. 1, ATF 122 V 134 ). Ce nouveau calcul des rentes doit déployer des effets ex tunc, comme c’est le cas dans la révision procédurale (POUDRET, Commentaire de la loi fédérale d’organisation judiciaire, vol. V, p. 71 no 1 ad art. 144 ; ATF 122 V 134 ). Ainsi, le nouvel examen de la situation justifiait la suppression rétroactive de la rente complémentaire pour épouse et une réduction rétroactive de la rente principale du mari ainsi que de la rente pour enfant, calculs effectués conformément à l’art. 35 aLAVS (ATF 130 V 505 ). L’intimé était donc en droit de réexaminer la situation des rentes du recourant et de rendre les deux décisions querellées, plafonnant le montant de la rente, conformément à l’art. 35 aLAVS. S’agissant de l’obligation de restituer les prestations indûment touchées par le mari (art. 47 al. 1 aLAVS), le Tribunal de céans n’examinera pas plus avant la question, dès lors qu’aucune décision de restitution n’a encore été rendue à l’encontre du recourant. 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