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A/1394/2012 vom 9. Juni 2011</w:t>
      </w:r>
    </w:p>
    <w:p>
      <w:r>
        <w:t>GE Cour de justice, 2011-06-09, FR</w:t>
      </w:r>
    </w:p>
    <w:p>
      <w:r>
        <w:rPr>
          <w:b/>
        </w:rPr>
        <w:t xml:space="preserve">Quelle: </w:t>
      </w:r>
      <w:r>
        <w:t>https://mcp.opencaselaw.ch/entscheid/ge_gerichte_A_1394_2012</w:t>
      </w:r>
    </w:p>
    <w:p>
      <w:r>
        <w:t>FR: GE_GERICHTE A/1394/2012 du 9 juin 2011</w:t>
      </w:r>
    </w:p>
    <w:p>
      <w:r>
        <w:t>IT: GE_GERICHTE A/1394/2012 del 9 giugno 2011</w:t>
      </w:r>
    </w:p>
    <w:p>
      <w:pPr>
        <w:pStyle w:val="Heading2"/>
      </w:pPr>
      <w:r>
        <w:t>Volltext</w:t>
      </w:r>
    </w:p>
    <w:p>
      <w:r>
        <w:t>Genève Cour de justice (Cour de droit public) Chambre des assurances sociales 30.05.2012 A/1394/2012</w:t>
      </w:r>
    </w:p>
    <w:p>
      <w:r>
        <w:t>A/1394/2012 ATAS/716/2012 du 30.05.2012 ( LAMAL ) RÉPUBLIQUE ET CANTON DE GENÈVE POUVOIR JUDICIAIRE A/1394/2012 ATAS/716/2012 COUR DE JUSTICE Chambre des assurances sociales Arrêt incident du 30 mai 2012 1 ère Chambre En la cause Monsieur C__________, domicilié au Grand-Saconnex, comparant avec élection de domicile en l'étude de Maître THURLER Nathalie recourant contre SERVICE DE L'ASSURANCE-MALADIE, sis route de Frontenex 62, 1207 Genève intimé Attendu en fait que Monsieur C__________ est au bénéfice d'une rente d'invalidité, ainsi que de prestations complémentaires ; Que par décision du 9 juin 2011, le SERVICE DES PRESTATIONS COMPLEMENTAIRES (SPC) a informé l'assuré que, dans le cadre de la révision de son dossier, le montant de ses prestations avait été recalculé, de sorte qu'il devait restituer un montant de 17'023 fr., qu'il n'avait plus droit aux prestations complémentaires fédérales, et que les prestations complémentaires cantonales seraient de 320 fr. par mois dès le 1 er juillet 2011 ; Que suite à l'opposition formée par l'assuré à cette décision le 2 juillet 2011, le SPC a requis la production de plusieurs pièces complémentaires ; Que par courrier du 4 octobre 2011, le SERVICE DE L'ASSURANCE-MALADIE (ci-après le SAM), "informé par le Service des prestations complémentaires que votre situation financière ne justifie plus l'aide allouée par l'Etat", a supprimé le droit de l'assuré au subside à compter du 30 septembre 2011 ; Que par décision du 12 décembre 2011, confirmée sur opposition le 3 avril 2012, le SAM a confirmé sa position, au motif que l'assuré n'était plus bénéficiaire de prestations du SPC depuis cette date ; qu'il attire l'attention de l'assuré sur le fait qu'une décision négative ne peut avoir un effet suspensif automatique, car un tel effet reviendrait précisément à accorder ce qui a été refusé ; Que l'assuré, représenté par Me Nathalie THURLER, a interjeté recours le 10 mai 2012 contre ladite décision ; qu'il rappelle qu'aucune décision définitive n'a en l'état été rendue quant à la suppression de son droit aux prestations complémentaires par le SPC ; qu'il conclut dès lors à l'annulation des décisions du SAM ; qu'il sollicite par ailleurs le rétablissement de l'effet suspensif ; Que dans sa réponse du 24 mai 2012, le SAM se réfère à l'attestation que lui a adressée le SPC le 30 septembre 2011, le priant de supprimer le droit au subside le même jour ; que s'agissant de la demande de restitution de l'effet suspensif, il conclut à son rejet ; qu'il précise enfin que, depuis le 1 er octobre 2011, l'assuré est au bénéfice d'un subside partiel du groupe B ; Que la cause a été gardée à juger sur la question de l'effet suspensif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de l'assuré au subside de l'assurance-maladie ; Que l'assuré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relatif au retrait de l'effet suspensif pour les recours formés contre les décisions des caisses de compensation ; qu'aux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qu'une telle requête doit être traitée sans délai ; que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ATF 110 V 46 ), applicable par analogie à l'assurance-invalidité en vertu de l'art. 81 LAI (abrogé par la LPGA) ; Qu'en l'espèce, il y a préalablement lieu de constater qu'en attirant expressément l'attention de l'assuré sur le fait qu'une décision négative ne peut avoir un effet suspensif automatiquement, le SAM entend en réalité retirer l'effet suspensif à un éventuel recours ; Que l'assuré en demande le rétablissement, considérant que la suppression du subside est pour le moins prématurée ; Qu'il est vrai que selon la jurisprudence du TF, les prévisions sur l'issue du litige au fond ne doivent faire aucun doute ; que le subside jusque-là versé à l'assuré dépend de l'octroi des prestations complémentaires ; qu'il sera sans doute nécessaire d'attendre au fond la décision définitive du SPC ; Que la Cour de céans constate dès lors qu'à ce stade de la procédure, les chances de succès de l'assuré sur le fond du litige, à la lumière de la jurisprudence fédérale, n'apparaissent pas prima faciae telles qu'elles l'emportent sur l'intérêt du SAM à l'exécution immédiate de sa décision de supprimer le subside ; Que force dès lors est de rejeter la demande en restitution de l’effet suspensif ; PAR CES MOTIFS, LA CHAMBRE DES ASSURANCES SOCIALES : Statuant sur incident A la forme : Déclare le recours recevable. Sur effet suspensif : Rejette la requête en rétablissement de l’effet suspensif. Réserve la suite de la procédure.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