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A/1394/2001 vom 6. Juli 2004</w:t>
      </w:r>
    </w:p>
    <w:p>
      <w:r>
        <w:t>GE Cour de justice, 2004-07-06, FR</w:t>
      </w:r>
    </w:p>
    <w:p>
      <w:r>
        <w:rPr>
          <w:b/>
        </w:rPr>
        <w:t xml:space="preserve">Quelle: </w:t>
      </w:r>
      <w:r>
        <w:t>https://mcp.opencaselaw.ch/entscheid/ge_gerichte_A_1394_2001</w:t>
      </w:r>
    </w:p>
    <w:p>
      <w:r>
        <w:t>FR: GE_GERICHTE A/1394/2001 du 6 juillet 2004</w:t>
      </w:r>
    </w:p>
    <w:p>
      <w:r>
        <w:t>IT: GE_GERICHTE A/1394/2001 del 6 luglio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notamment sur les contestations en matière d’assurance vieillesse et survivants (AVS) (cf. article 56 V LOJ). Sa compétence pour juger du cas d’espèce est ainsi établie.</w:t>
      </w:r>
    </w:p>
    <w:p>
      <w:r>
        <w:rPr>
          <w:b/>
        </w:rPr>
        <w:t>E. 3</w:t>
      </w:r>
    </w:p>
    <w:p>
      <w:r>
        <w:t>Il sied de relever préalablement que la loi fédérale sur la partie générale du droit des assurances sociales du 6 octobre 2000 (LPGA - RS 830.1) est entrée vigueur le 1 er janvier 2003, entraînant la modification de nombreuses dispositions légales dans le domaine de l'AVS, notamment en ce qui concerne l'article 52 de la loi fédérale sur l’assurance-vieillesse et survivants du 20 décembre 1946 (LAVS – RS 831.10). Désormais, la responsabilité de l'employeur est réglée de manière plus détaillée qu'auparavant à l'article 52 LAVS et les articles 81 et 82 du Règlement sur l’assurance-vieillesse et survivants du 31 octobre 1947 (RAVS – RS 831.101) ont été abrogés. Le cas d'espèce reste néanmoins régi par les dispositions en vigueur jusqu'au 31 décembre 2002, eu égard au principe selon lequel le juge des assurances sociales n'a pas à prendre en considération les modifications du droit ou de l’état de faits postérieures à la date déterminante de la décision litigieuse (ATF 127 V 467 consid. 1, 121 V 366 consid. 1b; cf. également dispositions transitoires, article 82, alinéa 1 LPGA).</w:t>
      </w:r>
    </w:p>
    <w:p>
      <w:r>
        <w:rPr>
          <w:b/>
        </w:rPr>
        <w:t>E. 4</w:t>
      </w:r>
    </w:p>
    <w:p>
      <w:r>
        <w:t>Aux termes de l’article 82, alinéa 1 RAVS, le droit de demander la réparation d’un dommage se prescrit lorsque la Caisse de compensation ne le fait pas valoir par une décision de réparation dans l’année après qu’elle a eu connaissance du dommage.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En l'espèce, après plusieurs sommations, la demanderesse s'est vu contrainte de notifier plusieurs commandements de payer à la société, puis de requérir la mainlevée des oppositions auprès du Tribunal de Première Instance de la République et canton de Genève.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 qui est fondé sur l'estimation de l'Office - pour le montant impayé, c'est-à-dire pour le montant de son découvert (cf. art. 149 al. 1 LP; Gilliéron ,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 115 al. 1 en relation avec l'art. 149 LP; ATF. 113 V 258 consid. 3c; RCC 1988 p. 137 ; Gilliéron , op.cit. p. 179, 224). Dans ce dernier cas, la réception du procès-verbal de saisie valant acte de défaut de bien définitif fait courir le délai de péremption d'une année de l'article 82 al. 1 RAVS. En l'occurrence, les procès-verbaux de saisie valant actes de défaut de biens ont été reçus par la caisse le 9 mars 2001. Dès lors, en notifiant sa demande en réparation du dommage en date du 16 août 2001, la Caisse a agi dans le délai d'une année imparti à l'article 82 al. 1 RAVS. Elle a également respecté le délai de cinq ans à compter du fait dommageable (cf. RCC 1991 p. 136 consid. 2c ; Nussbaumer , Les caisses de compensation en tant que parties à une procédure de réparation d’un dommage selon l’article 52 LAVS, in RCC 1991 p. 405). Le défendeur a formé opposition dans les 30 jours, conformément à l'article 81 alinéa 2 RAVS, et la Caisse a saisi la Commission cantonale de recours en matière d'assurance-vieillesse et survivants dans le délai légal de 30 jours à compter de cette opposition, conformément à l'article 81 al. 3 RAVS.</w:t>
      </w:r>
    </w:p>
    <w:p>
      <w:r>
        <w:rPr>
          <w:b/>
        </w:rPr>
        <w:t>E. 5</w:t>
      </w:r>
    </w:p>
    <w:p>
      <w:r>
        <w:t>Aux termes de l'article 52 de la loi sur l'assurance-vieillesse et survivants (LAVS - RS 831.10), l'employeur doit couvrir le dommage qu'il a causé en violant les prescriptions intentionnellement ou par négligence grave. Il sied de rappeler que l'article 52 LAVS est une disposition spéciale (cf. RCC 1989 p. 117). En l'espèce, le dommage consiste en la perte de la créance de cotisations subie par la Caisse pour un montant de 10'102 fr. 65, au titre de cotisations paritaires AVS-AI-APG-AC non payées, pour la période d’octobre à décembre 1997, janvier à juin 1998 et janvier à décembre 2000.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180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Nos 7004 ss des directives de l'OFAS sur la perception des cotisations - DP; ATF 114 V 79 , consid. 3; 113 V 256 , consid. 3c; RCC 1988, page 136, consid. 3c; ATF 111 V 173 , RCC 1985, page 649, consid. 2.). Dans le cas d'espèce, il résulte de l’extrait du Registre du commerce que le défendeur est inscrit en qualité d'administrateur de la société avec signature individuelle depuis février 2000, et il en était le directeur et gérant précédemment. Le défendeur est ainsi indiscutablement un organe de la société, ce qu'il ne conteste d'ailleurs pas (art. 754 al. 1 CO).</w:t>
      </w:r>
    </w:p>
    <w:p>
      <w:r>
        <w:rPr>
          <w:b/>
        </w:rPr>
        <w:t>E. 6</w:t>
      </w:r>
    </w:p>
    <w:p>
      <w:r>
        <w:t>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par principe, poser des exigences sévères en ce qui concerne l’attention qu'elle doit accorder au respect des prescriptions (cf. RCC 1972 p. 690; RCC 1978 p. 261). Un employeur peut ne pas répondre du dommage lorsqu'il avait des raisons sérieuses de penser qu'il parviendrait à sauver son entreprise (cf. VSI 1996 p. 228). Il doit cependant s'agir de motifs objectifs et réalistes. Il faut également que la durée pendant laquelle les cotisations sont restées en souffrance soit relativement courte pour exculper le défendeur et, partant, nier son obligation de réparer le dommage (cf. ATF 108 V 186 ss, RCC 1983 p. 100 consid. 1b; ATF 108 V 200 ss, RCC 1983 p. 106 consid. 1; VSI 1996 p. 228 et suivantes). Par ailleurs, les difficultés de trésorerie dues à la crise économique par exemple ne suffisent pas à exculper les organes (RCC 1992 page 21). Enfin, l’administrateur est responsable également des cotisations déjà échues lorsqu’il prend son mandat (cf. idem).</w:t>
      </w:r>
    </w:p>
    <w:p>
      <w:r>
        <w:rPr>
          <w:b/>
        </w:rPr>
        <w:t>E. 7</w:t>
      </w:r>
    </w:p>
    <w:p>
      <w:r>
        <w:t>Vu ce qui précède, il faut retenir que le défendeur est responsable du dommage au sens de l’art. 52 LAVS, les difficultés économiques et le manque de chance ne permettant pas de l’exculper, et les difficultés de trésorerie de la société n’ayant pas été passagères mais régulières, celle-là étant maintenant en liquidation malgré les efforts du défendeur. A noter que la gestion administrative laissait manifestement à désirer. C’est, par exemple, en août 1998  que le défendeur a informé la caisse des salaires versés entre 1997 et août 1998 ; or à cette période il a sensiblement réduit l’activité de la société vu ses difficultés, et dès lors, n’était plus en mesure de payer les cotisations dues. Eût-il pris des mesures comme la jurisprudence l’exige qu’il serait quand même responsable vu la longue période durant laquelle les cotisations sont restées impayées. La mainlevée d’opposition sera admise à concurrence de 10'102 fr. 65.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