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A/1392/2016 vom 29. Mai 2017</w:t>
      </w:r>
    </w:p>
    <w:p>
      <w:r>
        <w:t>GE Cour de justice, 2017-05-29, FR</w:t>
      </w:r>
    </w:p>
    <w:p>
      <w:r>
        <w:rPr>
          <w:b/>
        </w:rPr>
        <w:t xml:space="preserve">Quelle: </w:t>
      </w:r>
      <w:r>
        <w:t>https://mcp.opencaselaw.ch/entscheid/ge_gerichte_A_1392_2016</w:t>
      </w:r>
    </w:p>
    <w:p>
      <w:r>
        <w:t>FR: GE_GERICHTE A/1392/2016 du 29 mai 2017</w:t>
      </w:r>
    </w:p>
    <w:p>
      <w:r>
        <w:t>IT: GE_GERICHTE A/1392/2016 del 29 maggio 2017</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12.    On rappellera que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(arrêt du Tribunal fédéral 9C_521/2012 du 17 janvier 2013 consid. 3.1.2 ; arrêt du Tribunal fédéral 9C_901/2012 du 21 mai 2013 consid. 4.1).![endif]&gt;![if&gt; 13.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16.    En l’occurrence, il convient de déterminer en premier lieu le statut de la recourante.![endif]&gt;![if&gt; Cette dernière conteste la méthode d’évaluation de l’invalidité retenue par l’intimé et allègue avoir eu l’intention, avant d’être atteinte dans sa santé, d’augmenter son taux d’activité à 100% dès que sa fille aurait terminé sa scolarité post obligatoire, soit au plus tard à la fin de l’année 2010. Elle rappelle avoir travaillé à temps complet avant la naissance de sa fille, avoir repris une activité professionnelle dès que l’âge de celle-ci le lui a permis, être divorcée et bénéficier de peu de moyens financiers. Elle soutient ainsi que sa situation économique nécessitait une reprise du travail à temps complet une fois sa fille devenue indépendante. Elle fait également valoir qu’elle s’est déclarée apte à travailler à temps complet auprès de l’assurance chômage. La chambre de céans rappelle que la recourante a choisi de cesser toute activité lucrative suite à la naissance de son enfant, en 1991, se consacrant pendant neuf ans aux tâches ménagères et éducatives. Suite à sa séparation, elle a entrepris une formation en 2000 et a travaillé à 80% à partir du mois de septembre 2002. Malgré son divorce intervenu en 2005, et bien que sa fille fût alors âgée de 14 ans, la recourante n’a pas augmenté son taux d’activité. Ceci permet de conclure que sa situation financière n’exigeait pas la reprise d’un emploi à temps complet. D’ailleurs, il ressort du rapport du Dr G______ du 2 mars 2010 qu’elle souhaitait travailler à 80% et que son travail lui permettait d’entretenir sa fille aux études. En outre, le rapport d’enquête ménagère du 13 avril 2015 mentionne expressément que la recourante aurait continué à travailler à 80% sans atteinte à la santé, ce qui résultait d’un choix personnel. Enfin, s’il est exact que la recourante s’est déclarée apte à travailler à temps complet à l’OCE, elle était en incapacité de travail à 50% durant toute la période de son droit aux prestations et n’a donc pas recherché un emploi à un tel taux d’activité. Compte tenu de tout ce qui précède, il apparaît, en se fondant sur le critère de la vraisemblance prépondérante, que la recourante n’aurait pas travaillé à temps complet si elle n’avait pas été atteinte dans sa santé. C’est donc à juste titre que l’intimé a considéré que la recourante avait un statut mixte, consacrant 80% à son activité professionnelle et 20% à l’accomplissement de ses travaux habituels. 17.    Concernant l’évaluation du degré d’invalidité dans la sphère professionnelle, l’intimé a retenu une capacité de travail, dans l’activité habituelle, de 0% dès le 17 octobre 2008, de 50% dès le 1 er décembre 2008, de 0% dès le 1 er mai 2010 puis, dans une activité adaptée, de 70% dès le 1 er février 2011. Sur cette base, il a accordé à la recourante une rente entière d’invalidité du 1 er octobre au 30 novembre 2008 et du 1 er mai 2010 au 30 avril 2011, ainsi qu’un quart de rente du 1 er mai 2011 au 31 octobre 2012. À l’issue du reclassement professionnel, soit à compter du 1 er mai 2014, le degré d’invalidité était insuffisant pour ouvrir le droit à une rente.![endif]&gt;![if&gt; La recourante conclut à la confirmation de la décision litigieuse s’agissant de la période antérieure au mois de mai 2011, mais requiert l’octroi d’une demi-rente du 1 er mai 2011 au 31 octobre 2012 et d’une rente entière dès le 1 er mai 2014. Dans son écriture du 16 novembre 2016, l’intimé a maintenu ses conclusions concernant la phase courant jusqu’à la fin de la mesure de reclassement, soit jusqu’au 30 avril 2014, mais admis qu’un complément d’instruction était indiqué s’agissant de la période postérieure. 18.    En ce qui concerne la période courant dès le 1 er mai 2014, la recourante a signalé l’existence de troubles psychiques depuis le début du mois de mai 2014, ce qui a été confirmé par la Dresse J______ (cf. note interne de l’intimé du</w:t>
      </w:r>
    </w:p>
    <w:p>
      <w:r>
        <w:rPr>
          <w:b/>
        </w:rPr>
        <w:t>E. 7</w:t>
      </w:r>
    </w:p>
    <w:p>
      <w:r>
        <w:t>mai 2014), puis par la Dresse P______, laquelle a retenu des diagnostics psychiatriques ayant des répercussions sur la capacité de travail, fixée à 50%, et fait état d’acouphènes, de fatigabilité ou encore de difficultés d’attention, d’adaptation, de résistance et de concentration (cf. rapport du 25 août 2014). ![endif]&gt;![if&gt; Faute de toute instruction sur le plan psychiatrique, l’intimé n’a pas été informé, avant de rendre la décision litigieuse, que d’autres diagnostics avaient depuis lors été posés, soit un épisode dépressif sévère, un trouble somatoforme douloureux et un trouble délirant (cf. rapport de la Dresse R______ du 21 avril 2016), atteintes ayant entrainé une totale incapacité de travail à partir du 15 octobre 2015 pour la première fois (cf. certificat médical de la Dresse R______ du 26 octobre 2015). Eu égard à la jurisprudence fédérale, il y a lieu d’examiner si les répercussions fonctionnelles de l’atteinte à la santé constatée médicalement sont prouvées de manière définitive et sans contradiction avec une vraisemblance (au moins) prépondérante au moyen des indicateurs standards. La chambre de céans constate, à la lumière de cette jurisprudence relative aux troubles somatoformes douloureux, que la présente cause est insuffisamment instruite pour lui permettre de trancher, ce qui est au demeurant admis par l’intimé. Par conséquent, la décision du 23 mars 2016 doit être annulée et le dossier renvoyé à l’intimé pour instruction complémentaire. 19.    Quant à la période du 1 er mai 2011 au 31 octobre 2012, la recourante conteste le calcul du degré d’invalidité sans remettre en cause l’évaluation de sa capacité de travail.![endif]&gt;![if&gt; La chambre de céans observe cependant que les pièces produites à cet égard divergent notablement. En effet, le Dr K______ a considéré que la capacité de travail était de 70% dans une activité adaptée dès le 1 er février 2011 (rapport du 10 novembre 2011), alors que la Dresse J______ a estimé qu’elle était nulle dans l’activité habituelle mais de 50% dans une activité adaptée dès le 2 août 2011 (certificat du 12 juillet 2011) et que le Prof. L______ a conclu à une capacité de travail de 50% dans l’activité habituelle et de 100% dans une activité adaptée, sans préciser à partir de quelle date (rapport du 13 juin 2012). Quant aux diagnostics retenus, il sied de relever que la situation médicale concernant l’épaule droite n’est pas claire puisque certains troubles ont été constatés par des médecins, sans être par la suite confirmés ou expressément exclus par d’autres spécialistes. Ainsi, le Dr E______ a fait état d’une capsulite rétractile et d’une arthrose acromio-claviculaire débutante (cf. rapport du 13 août 2009), le Dr K______ a diagnostiqué une arthrose acromio-claviculaire, mais pas de capsulite rétractile (cf. rapport du 10 novembre 2011) et le Prof. L______ n’a pas confirmé ces troubles, mais a signalé une tendinopathie résiduelle du sus-épineux (cf. rapport du 13 juin 2012). La Dresse J______ a quant à elle constaté une dysfonction scapulo-thoracique (cf. rapport du 25 juin 2015) puis a fait état d’un conflit sous-acromial (cf. rapport du 22 novembre 2016). En outre, elle a signalé que la recourante avait été adressée à la consultation de la douleur aux HUG et avait subi des infiltrations, sans qu’aucun rapport ne soit produit à cet égard (cf. rapport du 5 novembre 2016). En ce qui concerne les troubles ORL, les acouphènes ont été signalés dès le mois de mai 2014, mais la Dresse R______ les fait remonter à la même époque que les problèmes d’épaule (cf. rapport produit le 7 octobre 2016). Des investigations supplémentaires ont été jugées nécessaires, mais ne semblent pas avoir été menées (cf. rapport des HUG du 15 janvier 2015). En outre, si la Dresse R______ n’a pas été en mesure de se déterminer sur la capacité de travail de la recourante avant le début de sa prise en charge, il n’en demeure pas moins qu’elle a relevé, à réitérées reprises, que le trouble somatoforme douloureux résultait de l’accident initial et des douleurs qui s’en étaient suivies (cf. rapport du 21 avril 2016) et que le grave était dépressif s’était certainement installé lorsque la recourante avait constaté qu’elle ne retrouverait plus son état antérieur (rapport produit le 7 octobre 2016). Entendue par la chambre de céans, la psychiatre traitant a déclaré que les diagnostics remontaient à la période qui avait suivi l’opération (étant observé que la dernière date du 29 juillet 2010) et que la recourante souffrait déjà certainement avant son suivi d’un trouble délirant interférant sur sa capacité de travail, trouble qui n’avait toutefois pas été diagnostiqué par la précédente psychiatre. Compte tenu de tout ce qui précède, la chambre de céans n’est pas en mesure de se prononcer sur les atteintes à la santé présentées par la recourante entre le 1 er mai 2011 et le 31 octobre 2012 et sur leurs éventuelles répercussions sur la capacité de travail. L’instruction complémentaire devra donc également porter sur cette période. 20.    En ce qui concerne les autres périodes, et bien qu’elles ne soient pas remises en cause par la recourante, la chambre de céans constate que la décision entreprise est difficilement compréhensible à de nombreux égards.![endif]&gt;![if&gt; 21.    Se référant à l’art. 29 al. 1 LAI dans sa teneur en vigueur depuis le 1 er janvier 2008, l’intimé a noté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Il a rappelé que la recourante avait déposé sa demande de prestations le 11 novembre 2008 et considéré que la naissance du droit à la rente était survenue le 18 octobre 2008, soit à l’échéance du délai d’attente d’un an.![endif]&gt;![if&gt; Or, selon la jurisprudence, lorsque le délai d'attente a commencé à courir avant le 1 er janvier 2008 et lorsque la demande a été déposée avant le 1 er juillet 2008 (cf. ATF 138 V 475 consid. 3 ; Lettre-circulaire n° 300 de l'OFAS du 15 juillet 2011, Droit transitoire : application des délais de péremption), en dérogation à l'art. 29 al. 1 LAI (nouvelle teneur en vigueur depuis le 1 er janvier 2008), la rente peut alors être versée dès que l'année d'attente est achevée (arrêt du Tribunal fédéral 9C_473/2011 du 14 mai 2012 consid. 4.1). Dans ce cas, le droit à la rente prend naissance à la date à laquelle l'assuré a présenté, en moyenne, une incapacité de travail de 40% au moins pendant une année sans interruption notable. En l’occurrence toutefois, la recourante, en incapacité de travail à 100% depuis le 17 octobre 2007, a déposé sa demande de prestations après la fin du mois de juin 2008, de sorte que la décision attaquée apparaît erronée s’agissant du moment de la naissance du droit à la rente. 22.    En outre, l’intimé a indiqué que le SMR était d’avis que la recourante avait présenté une incapacité de travail de 100% du 17 octobre 2007 au 16 novembre 2008, de 50% à partir du 1 er décembre 2008, et à nouveau de 100% du 1 er mai 2010 au 31 janvier 2011.![endif]&gt;![if&gt; La recourante ne contestant pas la décision entreprise à ce sujet, tout porte à croire qu’elle a effectivement exercé son activité professionnelle à 50% entre le 1 er décembre 2008 et le 30 avril 2010, ce qui résulte d’ailleurs de l’appréciation du Dr K______, lequel a considéré que la recourante avait travaillé au-dessus de ses forces dans un emploi inadapté lorsqu’elle avait repris son travail habituel à 50% en novembre 2008 (cf. rapport le 10 novembre 2011). Cependant, eu égard aux nombreux rapports émis, aux contradictions que ceux-ci comportent et à l’incertitude concernant une éventuelle mise à profit de la capacité résiduelle de travail par la recourante, il eût été judicieux que l’intimé précise clairement les rapports sur lesquels il entendait se baser et motive davantage sa décision. En effet, il est rappelé que le Prof. H______ et le Dr K______ ont estimé que l’incapacité de travail dans l’activité habituelle était totale depuis octobre 2007 (cf. rapports du 14 août 2011, respectivement du</w:t>
      </w:r>
    </w:p>
    <w:p>
      <w:r>
        <w:rPr>
          <w:b/>
        </w:rPr>
        <w:t>E. 10</w:t>
      </w:r>
    </w:p>
    <w:p>
      <w:r>
        <w:t>novembre 2011), alors que le Prof. L______ a considéré que l’incapacité de travail dans l’activité habituelle avait été de 100% dès le 17 octobre 2007 (premier accident), 50% dès le 16 juillet 2008 (six mois après la première intervention), 100% dès le 2 février 2010 (deuxième accident) et 50% dès le 30 janvier 2011 (six mois après la deuxième opération). En outre, la Dresse D______ a attesté d’une incapacité de travail de 100% jusqu’au 16 novembre 2008 et de 50% dès le 17 novembre 2008 (cf. rapport du 19 novembre 2008) et le Dr F______ a retenu une incapacité de travail de 50% dès le 2 février 2010 et de 100% dès le 28 mai 2010 (cf. rapports des 22 février et 22 mars 2010 et feuille accident LAA). Il semblerait donc que l’intimé se soit en réalité fondé sur les conclusions de la Dresse D______ et du Dr F______, ainsi que sur une partie de celles du Prof. L______, et que la recourante a effectivement travaillé à 50% du 17 novembre 2008 au 27 mai 2010. 23.    Il s’impose donc de renvoyer la cause à l’intimé pour qu’il en complète l’instruction, notamment en mettant en œuvre une expertise pluridisciplinaire.![endif]&gt;![if&gt; C’est le lieu de rappeler qu’une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(ATF 132 V 65 consid. 4.3 ; arrêt du Tribunal fédéral des assurances I 652/04 du 3 avril 2006 consid. 2.3). Cela étant, l’état de santé de la recourante devra comporter, outre les volets rhumatologique et psychiatrique, des volets en ORL et en orthopédie. 24.    Il incombera notamment aux experts de se prononcer sur tous les diagnostics et limitations fonctionnelles, l’influence des différentes atteintes sur la capacité de travail et l’évolution de cette dernière, à la lumière des indicateurs standard développés par le Tribunal fédéral au consid. 4 de l’ATF 141 V 281 en matière de trouble somatoforme douloureux, en motivant suffisamment leur appréciation. ![endif]&gt;![if&gt; Cas échéant, l’intimé devra ensuite procéder à une nouvelle enquête ménagère afin que soit pris en considération l’ensemble des atteintes à la santé et des limitations fonctionnelles de la recourante. Il est en effet relevé à cet égard que le rapport d’enquête ménagère du 13 avril 2015 ne saurait se voir reconnaître une quelconque valeur probante, dès lors que seules les douleurs à l’épaule ont été mentionnées. 25.    Il se justifie en conséquence d’admettre partiellement le recours, d’annuler la décision du 23 mars 2016 et de renvoyer la cause à l’intimé pour instruction complémentaire au sens des considérants et nouvelle décision motivée.![endif]&gt;![if&gt; 26.    La recourante, représentée par un conseil, obtenant partiellement gain de cause, une indemnité de CHF 2’500.- lui est octroyée à titre de participation à ses frais et dépens (art. 61 let. g LPGA; 89H al. 1 LPA ; art. 6 du règlement sur les frais, émoluments et indemnités en matière administrative du 30 juillet 1986 [RFPA - E 5 10.03]). ![endif]&gt;![if&gt; La procédure de recours en matière de contestations portant sur l’octroi ou le refus de prestations de l’assurance-invalidité étant soumise à des frais de justice (art. 69 al. 1bis LAI), un émolument de CHF 500.- sera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