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A/137/2023 vom 28. März 2023</w:t>
      </w:r>
    </w:p>
    <w:p>
      <w:r>
        <w:t>GE Cour de justice, 2023-03-28, FR</w:t>
      </w:r>
    </w:p>
    <w:p>
      <w:r>
        <w:rPr>
          <w:b/>
        </w:rPr>
        <w:t xml:space="preserve">Quelle: </w:t>
      </w:r>
      <w:r>
        <w:t>https://mcp.opencaselaw.ch/entscheid/ge_gerichte_A_137_2023</w:t>
      </w:r>
    </w:p>
    <w:p>
      <w:r>
        <w:t>FR: GE_GERICHTE A/137/2023 du 28 mars 2023</w:t>
      </w:r>
    </w:p>
    <w:p>
      <w:r>
        <w:t>IT: GE_GERICHTE A/137/2023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conteste que le montant de CHF 40'119.65 puisse être considéré comme une fortune compte tenu de la demande, formulée par le SPC, de contester une décision de Gastrosuisse.![endif]&gt;![if&gt;</w:t>
      </w:r>
    </w:p>
    <w:p>
      <w:r>
        <w:rPr>
          <w:b/>
        </w:rPr>
        <w:t>E. 2.1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et les arrêts cités). L'art. 39 al. 1 de la Constitution de la République et canton de Genève du 14 octobre 2012 (Cst - GE - A 2 00) reprend ce principe en prévoyant que toute personne a droit à la couverture de ses besoins vitaux afin de favoriser son intégration sociale et professionnelle.</w:t>
      </w:r>
    </w:p>
    <w:p>
      <w:r>
        <w:rPr>
          <w:b/>
        </w:rPr>
        <w:t>E. 2.2</w:t>
      </w:r>
    </w:p>
    <w:p>
      <w:r>
        <w:t>En droit genevois, la loi sur l’insertion et l'aide sociale individuelle du 22 mars 2007 (LIASI - J 4 04) et le règlement d'exécution de la loi sur l'insertion et l'aide sociale individuelle du 25 juillet 2007 (RIASI - J 4 04.01) concrétisent l’art. 12 Cst. ( ATA/457/2017 précité consid. 9b), tout en allant plus loin que ce dernier.![endif]&gt;![if&gt;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rPr>
          <w:b/>
        </w:rPr>
        <w:t>E. 2.3</w:t>
      </w:r>
    </w:p>
    <w:p>
      <w:r>
        <w:t>L'hospice est l’organe d’exécution de la LIASI (art. 3 al. 1 LIASI). ![endif]&gt;![if&gt; Le SPC gère et verse les prestations d’aide sociale notamment pour les personnes au bénéfice d’une rente de l'assurance invalidité (ci-après : AI), au sens de la loi fédérale sur l’assurance-invalidité du 19 juin 1959 (LAI - 831.20 ; art. 3 al. 2 let. b LIASI ; art. 22 al. 1 RIASI).</w:t>
      </w:r>
    </w:p>
    <w:p>
      <w:r>
        <w:rPr>
          <w:b/>
        </w:rPr>
        <w:t>E. 2.4</w:t>
      </w:r>
    </w:p>
    <w:p>
      <w:r>
        <w:t>Aux termes de l’art. 8 LIASI, ont droit à des prestations d’aide financière les personnes majeures qui ne sont pas en mesure de subvenir à leur entretien ou à celui des membres de la famille dont ils ont la charge (al. 1) ; ces prestations ne sont pas remboursables, sous réserve des art. 12 al. 2 et 36 à 41 LIASI (al. 2).![endif]&gt;![if&gt; Ont droit aux prestations d’aide financière les personnes dont le revenu mensuel déterminant n’atteint pas le montant destiné à la couverture des besoins de base et dont la fortune ne dépasse pas les limites fixées par le RIASI (art. 21 al. 1 LIASI). Sont prises en compte la fortune et les déductions sur la fortune prévues aux art. 6 et 7 LRDU, sous réserve d’exceptions non pertinentes en l’espèce (art. 23 al.  1 LIASI). Le Conseil d'État fixe par règlement les limites de fortune permettant de bénéficier des prestations d'aide financière (art. 23 al. 5 LIASI) La limite de fortune permettant de bénéficier des prestations d’aide financière est de CHF 4'000.- pour une personne seule (art. 1 al. 1 let. a RIASI).</w:t>
      </w:r>
    </w:p>
    <w:p>
      <w:r>
        <w:rPr>
          <w:b/>
        </w:rPr>
        <w:t>E. 2.5</w:t>
      </w:r>
    </w:p>
    <w:p>
      <w:r>
        <w:t>Conformément à l’art. 6 LRDU, le socle du revenu déterminant unifié comprend les éléments de fortune immobilière et mobilière énumérés aux let. a à g, dont : c) l’argent comptant, les dépôts dans les banques, les soldes de comptes courants ou tous titres représentant la possession d’une somme d’argent ; g)  tout autre élément de fortune, à l’exclusion des meubles meublants et du capital versé à titre d’épargne à une institution de prévoyance. ![endif]&gt;![if&gt;</w:t>
      </w:r>
    </w:p>
    <w:p>
      <w:r>
        <w:rPr>
          <w:b/>
        </w:rPr>
        <w:t>E. 2.6</w:t>
      </w:r>
    </w:p>
    <w:p>
      <w:r>
        <w:t>Si l’assuré perçoit une rente entière d’invalidité de l’assurance fédérale et si le risque d’invalidité n’est pas assuré à titre complémentaire au sens de l’art. 10 al. 2 et 3, deuxième phrase, condition non pertinente en l’espèce, la prestation de vieillesse lui est versée plus tôt, sur sa demande (art. 16 al. 2 de l’ordonnance sur le libre passage dans la prévoyance professionnelle vieillesse, survivants et invalidité du 3 octobre 1994 [ordonnance sur le libre passage, OLP - RS 831.425]).![endif]&gt;![if&gt;</w:t>
      </w:r>
    </w:p>
    <w:p>
      <w:r>
        <w:rPr>
          <w:b/>
        </w:rPr>
        <w:t>E. 2.7</w:t>
      </w:r>
    </w:p>
    <w:p>
      <w:r>
        <w:t>Il ressort des normes édictées par la Conférence suisse des institutions d'action sociale (ci-après : normes CSIAS) et en particulier de la norme D.3.3. relative à la fortune et la prévoyance professionnelle que les avoirs de la prévoyance professionnelle (pilier 2) et individuelle (pilier 3a) seront, par principe, libérés au moment de l’octroi d’une rente AVS anticipée ou d’une rente AI complète (al. 3). Les avoirs libérés de la prévoyance vieillesse font partie de la fortune à prendre en compte. Ils doivent être utilisés pour les dépenses d’entretien courantes et futures (al. 5).![endif]&gt;![if&gt;</w:t>
      </w:r>
    </w:p>
    <w:p>
      <w:r>
        <w:rPr>
          <w:b/>
        </w:rPr>
        <w:t>E. 2.8</w:t>
      </w:r>
    </w:p>
    <w:p>
      <w:r>
        <w:t>En l’espèce, la recourante ne conteste pas détenir un compte de libre passage UBS 648804 de CHF 36'295.51. Elle ne conteste pas que ce montant lui est accessible et que son refus d’entamer ledit capital résulte de son espoir d’obtenir une rente invalidité du deuxième pilier servie par Gastrosuisse. L’avoir étant à sa disposition, c’est à bon droit que le SPC a retenu le montant comme fortune au sens de l’art. 23 LIASI. L’avoir étant supérieur à CHF 4'000.-, la recourante ne remplit pas les conditions pour bénéficier de l’aide sociale (art. 23 LIASI et 1 al. 1 let. a RIASI).![endif]&gt;![if&gt; La question du statut du montant de CHF 3'824.15 détenu au titre d’avoir de prévoyance auprès de Gastrosocial, notamment à la suite de la requête du 24 mai 2022 du SPC contraignant la recourante à former opposition contre une décision non versée au présent dossier, peut demeurer en l’état indécise, n’ayant pas d’incidence sur l’issue du litige. Mal fondé, le recours sera rejeté.</w:t>
      </w:r>
    </w:p>
    <w:p>
      <w:r>
        <w:rPr>
          <w:b/>
        </w:rPr>
        <w:t>E. 3</w:t>
      </w:r>
    </w:p>
    <w:p>
      <w:r>
        <w:t>Vu la nature du litige, il ne sera pas perçu d’émolument. La recourante succombant, elle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