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A/1376/2015 vom 26. Juli 2016</w:t>
      </w:r>
    </w:p>
    <w:p>
      <w:r>
        <w:t>GE Cour de justice, 2016-07-26, FR</w:t>
      </w:r>
    </w:p>
    <w:p>
      <w:r>
        <w:rPr>
          <w:b/>
        </w:rPr>
        <w:t xml:space="preserve">Quelle: </w:t>
      </w:r>
      <w:r>
        <w:t>https://mcp.opencaselaw.ch/entscheid/ge_gerichte_A_1376_2015</w:t>
      </w:r>
    </w:p>
    <w:p>
      <w:r>
        <w:t>FR: GE_GERICHTE A/1376/2015 du 26 juillet 2016</w:t>
      </w:r>
    </w:p>
    <w:p>
      <w:r>
        <w:t>IT: GE_GERICHTE A/1376/2015 del 26 luglio 2016</w:t>
      </w:r>
    </w:p>
    <w:p>
      <w:pPr>
        <w:pStyle w:val="Heading2"/>
      </w:pPr>
      <w:r>
        <w:t>Regeste</w:t>
      </w:r>
    </w:p>
    <w:p>
      <w:r>
        <w:t>DROIT D'ÊTRE ENTENDU CIRCULATION ROUTIÈRE(DROIT DE LA CIRCULATION ROUTIÈRE) ; PERMIS DE CONDUIRE ; DROIT PÉNAL ; CHOSE JUGÉE ; ORDONNANCE PÉNALE ; SANCTION ADMINISTRATIVE ; GRAVITÉ DE LA FAUTE ; ADAPTATION DE LA VITESSE ; RETRAIT DE PERMIS ; DURÉE | Rejet par la chambre administrative du recours déposé par un conducteur ayant dépassé de 21km/h la limite de vitesse autorisée en localité. Aucune circonstance exceptionnelle dans le cas d'espèce ne pouvait transformer la faute moyennement grave commise en une faute légère, et partant annuler le retrait de permis d'un mois prononcé à son encontre. | Cst.29.al2; LCR.16a; LCR.16b.al1; LCR.16b.al2; LCR.16.al3</w:t>
      </w:r>
    </w:p>
    <w:p>
      <w:pPr>
        <w:pStyle w:val="Heading2"/>
      </w:pPr>
      <w:r>
        <w:t>Erwägungen</w:t>
      </w:r>
    </w:p>
    <w:p>
      <w:r>
        <w:rPr>
          <w:b/>
        </w:rPr>
        <w:t>E. 1</w:t>
      </w:r>
    </w:p>
    <w:p>
      <w:r>
        <w:t>Monsieur X______, né en 1986, est titulaire d'un permis de conduire de catégorie B délivré à Genève.![endif]&gt;![if&gt;</w:t>
      </w:r>
    </w:p>
    <w:p>
      <w:r>
        <w:rPr>
          <w:b/>
        </w:rPr>
        <w:t>E. 2</w:t>
      </w:r>
    </w:p>
    <w:p>
      <w:r>
        <w:t>Le 27 août 2014, aux alentours de 02h40, M. X______ a commis un dépassement de la vitesse maximale autorisée de 21 km/h, marge de sécurité déduite, intervenu au volant d'une voiture sur la commune de Corsier, à la hauteur du numéro 219 de la route d'Hermance, en direction d'Anières.![endif]&gt;![if&gt; Il résulte du système d'information sur le territoire genevois (ci-après : SITG) que la zone située entre les numéros 207 et 221 de la route d'Hermance est placée entre des panneaux de signalisation « 50 [km/h] – limite générale » conformes à la figure 2.30.1 de l'annexe 2 à l'ordonnance sur la signalisation routière du 5 septembre 1979 - OSR - RS 741.21 ; https://www.etat.ge.ch/ geoportail/pro/?mapresources=MOBILITE_SIGNAUX_LUMINEUX%2CMOBILITE%2CMOBILITE_ESPACE_ROUTIER).</w:t>
      </w:r>
    </w:p>
    <w:p>
      <w:r>
        <w:rPr>
          <w:b/>
        </w:rPr>
        <w:t>E. 3</w:t>
      </w:r>
    </w:p>
    <w:p>
      <w:r>
        <w:t>Le 15 décembre 2014, le service des contraventions a rendu une ordonnance pénale à l'encontre de M. X______ relative à l'infraction susmentionnée, le condamnant pour dépassement de la vitesse autorisée à l'intérieur d'une localité à une amende de CHF 600.-.![endif]&gt;![if&gt; Cette ordonnance n'a pas été contestée.</w:t>
      </w:r>
    </w:p>
    <w:p>
      <w:r>
        <w:rPr>
          <w:b/>
        </w:rPr>
        <w:t>E. 4</w:t>
      </w:r>
    </w:p>
    <w:p>
      <w:r>
        <w:t>Suite à l'octroi d'un délai pour faire part de ses observations, M. X______ s'est déterminé, par courrier du 24 février 2015, auprès du service cantonal des véhicules (ci-après : SCV ou le service), en le priant de ne retenir qu'une faute légère et de ne lui adresser qu'un avertissement compte tenu de son excès de vitesse, à la limite entre la faute légère et la faute moyenne. Il n'avait mis personne en danger et son véhicule lui était indispensable dans le cadre de son travail d'avocat pénaliste. ![endif]&gt;![if&gt;</w:t>
      </w:r>
    </w:p>
    <w:p>
      <w:r>
        <w:rPr>
          <w:b/>
        </w:rPr>
        <w:t>E. 5</w:t>
      </w:r>
    </w:p>
    <w:p>
      <w:r>
        <w:t>Par décision du 2 mars 2015, le SCV a prononcé le retrait du permis de conduire de M. X______ pour une durée d'un mois en raison du dépassement précité survenu le 27 août 2014. ![endif]&gt;![if&gt; L'intéressé, jouissant d'une bonne réputation, avait commis une faute moyennement grave. Aucun besoin de conduire un véhicule automobile au sens de la jurisprudence ne pouvait être retenu en sa faveur. La mesure ne s'écartait pas du minimum légal.</w:t>
      </w:r>
    </w:p>
    <w:p>
      <w:r>
        <w:rPr>
          <w:b/>
        </w:rPr>
        <w:t>E. 6</w:t>
      </w:r>
    </w:p>
    <w:p>
      <w:r>
        <w:t>Par acte expédié le 27 avril 2015, M. X______ a recouru contre cette décision auprès du Tribunal administratif de première instance (ci-après : TAPI) concluant à l'annulation de la décision et au prononcé d'un avertissement à l'encontre du recourant pour faute légère. ![endif]&gt;![if&gt; Le dépassement de la vitesse autorisée ne constituait pas un cas de gravité moyenne. La nuit de l'infraction, il n'avait mis personne en danger, aucun autre usager ne se trouvait sur la route, bien éclairée au demeurant. Par ailleurs, son véhicule était performant à vitesse élevée, de sorte qu'il était à même de pouvoir s'arrêter ou manœuvrer en cas de danger.</w:t>
      </w:r>
    </w:p>
    <w:p>
      <w:r>
        <w:rPr>
          <w:b/>
        </w:rPr>
        <w:t>E. 7</w:t>
      </w:r>
    </w:p>
    <w:p>
      <w:r>
        <w:t>Par jugement du 8 juin 2015, le TAPI a rejeté le recours.![endif]&gt;![if&gt; Celui-ci avait commis un excès de vitesse de 21 km/h, marge de sécurité déduite, en localité ce qui était constitutif d'une infraction moyennement grave au sens de la loi fédérale sur la circulation routière du 19 décembre 1958 (LCR - RS 741.01). Les circonstances concrètes avancées par le recourant n'étaient pas susceptibles de changer la qualification de la faute. De plus, elles ne devaient pas être prises en compte au vu du minimum légal infligé au recourant.</w:t>
      </w:r>
    </w:p>
    <w:p>
      <w:r>
        <w:rPr>
          <w:b/>
        </w:rPr>
        <w:t>E. 8</w:t>
      </w:r>
    </w:p>
    <w:p>
      <w:r>
        <w:t>Par acte posté le 3 juillet 2015, M. X______ a recouru contre ce jugement auprès de la chambre administrative de la Cour de justice (ci-après : la chambre administrative) concluant, « avec suite de frais et dépens », à son annulation, à la requalification de faute comme étant légère et au prononcé d'un avertissement à l'encontre du recourant en lieu et place d'un retrait de permis. ![endif]&gt;![if&gt; Le TAPI avait violé les règles jurisprudentielles selon lesquelles, au moment de l'examen de la qualification de la gravité de l'infraction, il convenait de procéder à une vérification des circonstances du cas d'espèce sous peine de violer le droit fédéral. En effet, le TAPI avait décidé de ne pas prendre en compte lesdites circonstances, ce qui violait les règles sur la circulation routière et le droit d'être entendu, et était constitutif d'une constatation inexacte des faits. Dès lors, le TAPI aurait dû retenir que le dépassement de vitesse avait eu lieu sur une route de campagne et non en localité, tardivement en semaine (mais alors qu'il était lui-même bien reposé), sur une route déserte bénéficiant d'un « éclairage particulièrement optimal » et au volant d'un véhicule prévu pour circuler à grande vitesse possédant un système de freinage et de direction efficaces.</w:t>
      </w:r>
    </w:p>
    <w:p>
      <w:r>
        <w:rPr>
          <w:b/>
        </w:rPr>
        <w:t>E. 9</w:t>
      </w:r>
    </w:p>
    <w:p>
      <w:r>
        <w:t>Le 19 août 2015, le SCV a implicitement conclu au rejet du recours, se référant à ses observations formulées devant le TAPI et au jugement de ce dernier.![endif]&gt;![if&gt;</w:t>
      </w:r>
    </w:p>
    <w:p>
      <w:r>
        <w:rPr>
          <w:b/>
        </w:rPr>
        <w:t>E. 10</w:t>
      </w:r>
    </w:p>
    <w:p>
      <w:r>
        <w:t>Le 18 septembre 2015, le juge délégué a fixé aux parties un délai au 9 octobre 2015 pour formuler toutes requêtes ou observations complémentaires, après quoi la cause serait gardée à juger.![endif]&gt;![if&gt;</w:t>
      </w:r>
    </w:p>
    <w:p>
      <w:r>
        <w:rPr>
          <w:b/>
        </w:rPr>
        <w:t>E. 11</w:t>
      </w:r>
    </w:p>
    <w:p>
      <w:r>
        <w:t>Le 8 octobre 2015, le recourant a persisté dans ses conclusions.![endif]&gt;![if&gt;</w:t>
      </w:r>
    </w:p>
    <w:p>
      <w:r>
        <w:rPr>
          <w:b/>
        </w:rPr>
        <w:t>E. 12</w:t>
      </w:r>
    </w:p>
    <w:p>
      <w:r>
        <w:t>Aux termes de l'art. 16b al. 2 let. a LCR, le permis d'élève conducteur ou le permis de conduire est retiré pour un mois minimum. Les circonstances concrètes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 ATA/479/2014 précité).![endif]&gt;![if&gt;</w:t>
      </w:r>
    </w:p>
    <w:p>
      <w:r>
        <w:rPr>
          <w:b/>
        </w:rPr>
        <w:t>E. 13</w:t>
      </w:r>
    </w:p>
    <w:p>
      <w:r>
        <w:t>L’art. 16 al. 3 LCR prévoit que la durée minimale du retrait du permis de conduire ne peut être réduite. Selon la jurisprudence du Tribunal fédéral, une telle règle s’impose aux tribunaux sans dérogation possible, même pour tenir compte de besoins professionnels particuliers du conducteur (ATF 132 II 234 consid. 2 ; arrêt du Tribunal fédéral 1C_585/2008 du 14 mai 2009 consid. 2.1). Si des circonstances telles que la gravité de la faute, les antécédents ou la nécessité professionnelle de conduire un véhicule automobile doivent être prises en compte pour fixer la durée du retrait, la durée minimale ne peut pas être réduite (ATF 135 II 334 consid. 2.2 ; 132 II 234 consid. 2.3 ; arrêt du Tribunal fédéral 1C_188/2010 du 6 septembre 2010 consid. 2.1 ; ATA/552/2012 précité).![endif]&gt;![if&gt;</w:t>
      </w:r>
    </w:p>
    <w:p>
      <w:r>
        <w:rPr>
          <w:b/>
        </w:rPr>
        <w:t>E. 14</w:t>
      </w:r>
    </w:p>
    <w:p>
      <w:r>
        <w:t>En l'espèce, à l'exception de la situation en ou hors localité de l'infraction, déjà traitée plus haut, le recourant ne conteste pas les faits. Il a commis un dépassement de vitesse de 21 km/h dans une zone limitée à 50 km/h, ce qui constitue une infraction moyennement grave, comme mentionné ci-dessus. Un retrait de permis d'une durée d'un mois a ainsi été prononcé à son encontre. Dans ces circonstances, quels que soient les besoins professionnels du recourant de disposer d’un permis de conduire et indépendamment du fait qu'aucun autre usager de la route n'ait été concrètement mis en danger, ses arguments ne peuvent pas être pris en considération, la durée du retrait de permis prononcé par le service correspondant au minimum légal irréductible institué par l’art. 16b al. 2 let. a LCR, l’art. 16 al. 3 LCR s’imposant aux tribunaux.![endif]&gt;![if&gt; Le TAPI n'a dès lors pas violé les articles susmentionnés de la LCR. Ce grief sera rejeté.</w:t>
      </w:r>
    </w:p>
    <w:p>
      <w:r>
        <w:rPr>
          <w:b/>
        </w:rPr>
        <w:t>E. 15</w:t>
      </w:r>
    </w:p>
    <w:p>
      <w:r>
        <w:t>Ce qui précède conduit au rejet du recours. ![endif]&gt;![if&gt;</w:t>
      </w:r>
    </w:p>
    <w:p>
      <w:r>
        <w:rPr>
          <w:b/>
        </w:rPr>
        <w:t>E. 16</w:t>
      </w:r>
    </w:p>
    <w:p>
      <w:r>
        <w:t>Vu l'issue du litige, un émolument de procédure de CHF 800.-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