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A/1375/2007 vom 16. Oktober 2007</w:t>
      </w:r>
    </w:p>
    <w:p>
      <w:r>
        <w:t>GE Cour de justice, 2007-10-16, FR</w:t>
      </w:r>
    </w:p>
    <w:p>
      <w:r>
        <w:rPr>
          <w:b/>
        </w:rPr>
        <w:t xml:space="preserve">Quelle: </w:t>
      </w:r>
      <w:r>
        <w:t>https://mcp.opencaselaw.ch/entscheid/ge_gerichte_A_1375_2007</w:t>
      </w:r>
    </w:p>
    <w:p>
      <w:r>
        <w:t>FR: GE_GERICHTE A/1375/2007 du 16 octobre 2007</w:t>
      </w:r>
    </w:p>
    <w:p>
      <w:r>
        <w:t>IT: GE_GERICHTE A/1375/2007 del 16 ottobre 2007</w:t>
      </w:r>
    </w:p>
    <w:p>
      <w:pPr>
        <w:pStyle w:val="Heading2"/>
      </w:pPr>
      <w:r>
        <w:t>Erwägungen</w:t>
      </w:r>
    </w:p>
    <w:p>
      <w:r>
        <w:rPr>
          <w:b/>
        </w:rPr>
        <w:t>E. 12</w:t>
      </w:r>
    </w:p>
    <w:p>
      <w:r>
        <w:t>Le 8 mai 2007, la Société d’Art Public s’est opposée au recours et conclut à la confirmation de la décision de la CCRC. Même si des transformations malheureuses avaient porté atteinte à l’unité architecturale d’origine, cela ne saurait justifier une intensification de ces atteintes. Seule la solution proposée par la CMNS, qui était parfaitement réalisable, respectait le principe de la proportionnalité entre les économies d’énergie et la sauvegarde du patrimoine architectural, sans générer de coûts élevés pour les recourants.</w:t>
      </w:r>
    </w:p>
    <w:p>
      <w:r>
        <w:rPr>
          <w:b/>
        </w:rPr>
        <w:t>E. 13</w:t>
      </w:r>
    </w:p>
    <w:p>
      <w:r>
        <w:t>Le 25 juin 2007, le Tribunal administratif a procédé à un transport sur place, au cours duquel il a notamment constaté que les fenêtres du 7 ème étage de l’immeuble litigieux avaient déjà été changées. Celles de l’immeuble 11, rue Monnier, étaient en bois blanc, sans partitions, avec du verre isolant double. Celles de l’immeuble 9, rue Monnier, avaient des partitions et celles du n° 7, avaient des montants plus larges que celles des immeubles voisins ; elles étaient en PVC, avec partitions.</w:t>
      </w:r>
    </w:p>
    <w:p>
      <w:r>
        <w:rPr>
          <w:b/>
        </w:rPr>
        <w:t>E. 14</w:t>
      </w:r>
    </w:p>
    <w:p>
      <w:r>
        <w:t>Les deux procédures ont été jointes par décision du 27 juin 2007.</w:t>
      </w:r>
    </w:p>
    <w:p>
      <w:r>
        <w:rPr>
          <w:b/>
        </w:rPr>
        <w:t>E. 15</w:t>
      </w:r>
    </w:p>
    <w:p>
      <w:r>
        <w:t>Les parties ont pu apporter quelques précisions et compléments au procès-verbal dressé lors du transport sur place, sans toutefois en modifier la substance. Suite à quoi l’affaire a été gardée à juger. EN DROIT 1. Interjetés en temps utile devant la juridiction compétente, les recours sont recevables (art. 56A de la loi sur l’organisation judiciaire du 22 novembre 1941 - LOJ - E 2 05 ; art. 63 al. 1 litt. a de la loi sur la procédure administrative du 12 septembre 1985 - LPA - E 5 10). 2. Alios S.A. a agi dans cette procédure en qualité de mandataire des copropriétaires lors du dépôt de la requête en autorisation de construire. En revanche, cette société ne les a pas représentés lors de la procédure devant la CCRC et c’est à tort qu’elle figure en qualité d’intimée dans la décision rendue par cette dernière. Alios S.A. sera dès lors mise hors de cause, car elle n’a pas la qualité de partie (art. 7 al. 2 LPA). 3. Selon l’article 89 alinéa 1 LCI, l’unité architecturale et urbanistique des ensembles du 19 ème siècle et du début du 20 ème siècle situés en dehors du périmètre de protection de la Vieille-Ville et du secteur sud des anciennes fortifications, ainsi que du vieux Carouge, doit être préservée. Sont considérés comme ensembles les groupes de deux immeubles ou plus en ordre contigu, d’architecture identique ou analogue, ainsi que les immeubles séparés dont l’emplacement, le gabarit et le style ont été conçus dans le cadre d’une composition s’ensemble dans le quartier ou dans la rue (art. 89 al. 2 LCI). Les ensembles dont l’unité architecturale et urbanistique est complète sont maintenus (art. 90 al. 1 première phrase LCI). Les demandes d’autorisation, ainsi que les travaux de réfection de façades et de toitures concernant des immeubles visés à l’article 89 sont soumis pour préavis à la commission des monuments, de la nature et des sites (art. 93 al. 1 LCI). 4. Selon une jurisprudence bien établie, le Tribunal administratif observe une certaine retenue pour éviter de substituer sa propre appréciation à celle des commissions de préavis pour autant que l’autorité inférieure suive l’avis de celles-ci ( ATA/440/2006 du 31 août 2006 et les arrêts cités). En l’espèce, le département n’a pas suivi le préavis défavorable rendu par la CMNS, alors que la CCRC s’est précisément fondée sur le préavis en question pour annuler la décision rendue par l’autorité. Dans ces circonstances, le Tribunal administratif, qui a procédé à un transport sur place, peut revoir librement l’interprétation des dispositions légales rappelées ci-dessus. 5. Il est en premier lieu nécessaire de relever que la CMNS se fonde sur des prémisses erronées, lorsqu’elle indique que les deux façades concernées - soit celle donnant sur la rue Monnier et celle sur la rue Marignac - conservent une unité architecturale intacte et ne montrent pas de remplacements. Lors du transport sur place, il a en effet été constaté que les fenêtres installées aux deux niveaux supérieurs du bâtiment concerné ne sont pas d’origine. Celles des bâtiments voisins constituant un ensemble au sens des articles 89 et suivants LCI ont elles aussi été modifiées sans coordination, certaines étant en bois blanc, sans partition, d’autres en PVC avec partitions, et d’autres encore avec des partitions uniquement décoratives, ne jouant aucun rôle dans la structure de la fenêtre. Ce nonobstant, les participants au transport sur place ont pu constater que l’harmonie architecturale existant entre les façades était maintenue, ce qui est déterminant dans la présente affaire.. Il est nécessaire aussi de tenir compte de la meilleure isolation thermique fournie par les fenêtres que les recourants se proposent d’installer, élément reconnu par toutes les parties, même si l’impact sur la qualité de vie des locataires obtenu par cette modification n’a pas été quantifié. En dernier lieu, il ressort des observations du tribunal que les solutions proposées par la CMNS, en particulier la pose de doubles fenêtres, sont très difficiles à concrétiser. L’impact d’une telle intervention sur l’ensemble - même si des éléments historiques seraient ainsi conservés - est plus fort esthétiquement que la solution proposée par les copropriétaires. Dans ces circonstances, les recours seront admis et l’autorisation de construire initiale sera rétablie. 6. Au vu de cette issue, un émolument de procédure, en CHF 1’000.-, sera mis à la charge de la SAP, qui succombe. Une indemnité de CHF 1500.- sera allouée aux copropriétaires - qui y ont conclu -, à la charge de la SAP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