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A/1371/2018 vom 10. Juli 2018</w:t>
      </w:r>
    </w:p>
    <w:p>
      <w:r>
        <w:t>GE Cour de justice, 2018-07-10, FR</w:t>
      </w:r>
    </w:p>
    <w:p>
      <w:r>
        <w:rPr>
          <w:b/>
        </w:rPr>
        <w:t xml:space="preserve">Quelle: </w:t>
      </w:r>
      <w:r>
        <w:t>https://mcp.opencaselaw.ch/entscheid/ge_gerichte_A_1371_2018</w:t>
      </w:r>
    </w:p>
    <w:p>
      <w:r>
        <w:t>FR: GE_GERICHTE A/1371/2018 du 10 juillet 2018</w:t>
      </w:r>
    </w:p>
    <w:p>
      <w:r>
        <w:t>IT: GE_GERICHTE A/1371/2018 del 10 luglio 2018</w:t>
      </w:r>
    </w:p>
    <w:p>
      <w:pPr>
        <w:pStyle w:val="Heading2"/>
      </w:pPr>
      <w:r>
        <w:t>Erwägungen</w:t>
      </w:r>
    </w:p>
    <w:p>
      <w:r>
        <w:rPr>
          <w:b/>
        </w:rPr>
        <w:t>E. 1</w:t>
      </w:r>
    </w:p>
    <w:p>
      <w:r>
        <w:t>L'assureur doit rendre par écrit les décisions qui portent sur des prestations, créances ou injonctions importantes ou avec lesquelles l'intéressé n'est pas d'accord.</w:t>
      </w:r>
    </w:p>
    <w:p>
      <w:r>
        <w:rPr>
          <w:b/>
        </w:rPr>
        <w:t>E. 2</w:t>
      </w:r>
    </w:p>
    <w:p>
      <w:r>
        <w:t>Si le requérant rend vraisemblable un intérêt digne d'être protégé, l'assureur rend une décision en constatation.</w:t>
      </w:r>
    </w:p>
    <w:p>
      <w:r>
        <w:rPr>
          <w:b/>
        </w:rPr>
        <w:t>E. 3</w:t>
      </w:r>
    </w:p>
    <w:p>
      <w:r>
        <w:t>Les décisions indiquent les voies de droit. Elles doivent être motivées si elles ne font pas entièrement droit aux demandes des parties. La notification irrégulière d'une décision ne doit entraîner aucun préjudice pour l'intéressé.</w:t>
      </w:r>
    </w:p>
    <w:p>
      <w:r>
        <w:rPr>
          <w:b/>
        </w:rPr>
        <w:t>E. 4</w:t>
      </w:r>
    </w:p>
    <w:p>
      <w:r>
        <w:t>L'assureur qui rend une décision touchant l'obligation d'un autre assureur d'allouer des prestations est tenu de lui en communiquer un exemplaire. Cet autre assureur dispose des mêmes voies de droit que l'assuré ». Le courrier du 14 mars 2018 ne saurait, au vu de ce qui précède, être considéré comme une décision. Force est de constater que l’intéressée avait la possibilité de demander à la CCGC la notification d’une décision formelle sujette à opposition, puis à recours (art. 56 LPGA) et que si la CCGC n’obtempérait pas, l’intéressée pouvait alors saisir la chambre de céans d’un recours pour déni de justice conformément à l’art. 56 al. 2 LPGA. En l’espèce, l’intéressée n’a pas requis de la CCGC qu’elle rende une décision formelle et n’a pas non plus recouru pour déni de justice. Le recours est ainsi déclaré irrecevable. 7.        On peut ajouter que quand bien même le courrier du 14 mars 2018 était assimilé à une décision formelle, encore faudrait-il que l’on considère qu’il s’agit d’une décision sur opposition, sujette à recours auprès de la chambre de céans. Or, le courrier du 14 mars 2018 fait suite à la demande en révision du 6 février 2017. Il n’est dès lors pas concevable qu’il puisse constituer une réponse à une opposition.![endif]&gt;![if&gt; Même si, pour des raisons d’économie de procédure – qui auraient pu être envisagées dans la mesure où la motivation d’une décision aurait été identique à celle communiquée à l’intéressée le 14 mars 2018 –, la chambre de céans considérait que la CCGC avait rendu une décision contre laquelle l’intéressée serait en mesure de recourir, le recours serait quoi qu’il en soit rejeté, pour les motifs qui suivent. 8.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![endif]&gt;![if&gt; b. L’assurée allègue avoir invoqué les moyens de preuve nouveaux dont elle n’a eu connaissance que le 10 février 2016, deux jours après déjà. La CCGC ne saurait dès lors lui reprocher d’avoir agi tardivement. Cela étant, elle a eu la maladresse de qualifier sa requête du 12 février 2016 de demande en reconsidération, ce qui a permis à la CCGC, selon elle, de refuser d’entrer en matière. c. Les moyens de preuve nouveaux dont l’intéressée fait état sont les jugements rendus par le Tribunal de première instance en 2010 et le plan de paiement accordé par la CCGC le 12 juillet 2010. Ces documents sont ceux qui étaient déjà invoqués dans la demande en reconsidération du 12 février 2016. L’intéressée oublie que par arrêt du 30 août 2016, statuant précisément sur la décision de la CCGC de ne pas entrer en matière sur sa demande en reconsidération du 12 février 2016, la chambre de céans a déjà examiné si les conditions d’une révision de la décision du 17 juillet 2015 étaient réalisées et a répondu que tel n’était pas le cas. Cet arrêt, confirmé par le Tribunal fédéral le 3 novembre 2016, est entré en force de chose jugée. Il ne saurait dès lors être question d’y revenir. 9.        Aussi le recours est-il irrecevable.![endif]&gt;![if&gt;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