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A/136/2024 vom 5. August 2025</w:t>
      </w:r>
    </w:p>
    <w:p>
      <w:r>
        <w:t>GE Cour de justice, 2025-08-05, FR</w:t>
      </w:r>
    </w:p>
    <w:p>
      <w:r>
        <w:rPr>
          <w:b/>
        </w:rPr>
        <w:t xml:space="preserve">Quelle: </w:t>
      </w:r>
      <w:r>
        <w:t>https://mcp.opencaselaw.ch/entscheid/ge_gerichte_A_136_2024</w:t>
      </w:r>
    </w:p>
    <w:p>
      <w:r>
        <w:t>FR: GE_GERICHTE A/136/2024 du 5 août 2025</w:t>
      </w:r>
    </w:p>
    <w:p>
      <w:r>
        <w:t>IT: GE_GERICHTE A/136/2024 del 5 agosto 2025</w:t>
      </w:r>
    </w:p>
    <w:p>
      <w:pPr>
        <w:pStyle w:val="Heading2"/>
      </w:pPr>
      <w:r>
        <w:t>Erwägungen</w:t>
      </w:r>
    </w:p>
    <w:p>
      <w:r>
        <w:rPr>
          <w:b/>
        </w:rPr>
        <w:t>E. 3</w:t>
      </w:r>
    </w:p>
    <w:p>
      <w:r>
        <w:t>La recourante fait valoir en premier lieu que par décision du 19 juillet 2024 le département lui a imparti un délai pour déposer une autorisation de construire concernant « notamment l’intégralité des aménagements extérieurs sis sur la parcelle 1'810 dont fait partie la véranda-bureau litigieuse ». Il ne pouvait ainsi être exclu que la véranda soit autorisée, de sorte que la décision querellée n’avait plus de raison d’être et devait être annulée. Le département a expliqué que son courrier du 19 juillet 2024 était une mesure d’exécution de la décision du 30 août 2023 telle que confirmée par le jugement du TAPI du 16 mai 2024, laquelle ne portait que sur les aménagements extérieurs et non sur la véranda. Telle est bien la teneur du courrier du 19 juillet 2024, qui mentionne la procédure A/2877/2023 et reprend la teneur de la décision du 30 août 2023. Ce courrier n’est ainsi d’aucun secours à la recourante et le grief sera écarté.</w:t>
      </w:r>
    </w:p>
    <w:p>
      <w:r>
        <w:rPr>
          <w:b/>
        </w:rPr>
        <w:t>E. 4</w:t>
      </w:r>
    </w:p>
    <w:p>
      <w:r>
        <w:t>Dans un second grief, la recourante se plaint de la violation du principe de la bonne foi et invoque la tolérance de l’autorité administrative.</w:t>
      </w:r>
    </w:p>
    <w:p>
      <w:r>
        <w:rPr>
          <w:b/>
        </w:rPr>
        <w:t>E. 4.1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4.2</w:t>
      </w:r>
    </w:p>
    <w:p>
      <w:r>
        <w:t>En l’espèce, la recourante fait valoir que le département avait ouvert cinq procédures distinctes entre 2013 et 2018 et ne pouvait ignorer l’existence de la véranda édifiée entre 2005 et 2009 et ne pouvait soutenir qu’il n’avait découvert son existence qu’en 2019. S’il était retenu qu’il l’avait découverte en 2019, le département aurait dû la découvrir en 2013 déjà en prêtant l’attention voulue. Le département a affirmé avec constance n’avoir découvert la véranda qu’en 2019. Aucun élément ne permet de mettre en doute cette affirmation, d’autant que les demandes d’autorisation sont le plus souvent instruites par écrit sur la base des plans fournis par les requérants. Aucun élément du dossier ne permet, par ailleurs, de conclure que le département aurait manifesté par son comportement ou son silence qu’il tolérait la construction litigieuse. Au contraire, le 18 septembre 2019 la recourante avait déposé une demande d'autorisation de construire DD 1______ portant sur la construction d'une véranda bureau. Or, le 23 février 2021, saisi d'une dénonciation, le département avait découvert que la véranda-bureau était déjà construite sans autorisation et que la demande constituait en fait une tentative de régularisation. La recourante ne peut ainsi se prévaloir de bonne foi d’assurances que lui aurait donné le département. Le grief sera écarté.</w:t>
      </w:r>
    </w:p>
    <w:p>
      <w:r>
        <w:rPr>
          <w:b/>
        </w:rPr>
        <w:t>E. 5</w:t>
      </w:r>
    </w:p>
    <w:p>
      <w:r>
        <w:t>La recourante se plaint de la violation du principe de proportionnalité, de la garantie de la propriété et de la liberté économique.</w:t>
      </w:r>
    </w:p>
    <w:p>
      <w:r>
        <w:rPr>
          <w:b/>
        </w:rPr>
        <w:t>E. 5.1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5.2</w:t>
      </w:r>
    </w:p>
    <w:p>
      <w:r>
        <w:t>Aucune construction ou installation ne peut être créée ou transformée sans autorisation de l'autorité compétente. L'autorisation est délivrée si la construction ou l'installation est conforme à l'affectation de la zone (art. 22 al. 1 et al. 2 let. a LAT).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w:t>
      </w:r>
    </w:p>
    <w:p>
      <w:r>
        <w:rPr>
          <w:b/>
        </w:rPr>
        <w:t>E. 5.3</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5.4</w:t>
      </w:r>
    </w:p>
    <w:p>
      <w:r>
        <w:t>La cinquième zone est une zone résidentielle destinée aux villas.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LaLAT).</w:t>
      </w:r>
    </w:p>
    <w:p>
      <w:r>
        <w:rPr>
          <w:b/>
        </w:rPr>
        <w:t>E. 5.5</w:t>
      </w:r>
    </w:p>
    <w:p>
      <w:r>
        <w:t>La garantie de la propriété est ancrée à l'art. 26 al. 1 Cst. Cette garantie constitutionnelle comprend la faculté de disposer de son terrain dans les limites des lois et des plans d'affectation du sol ( ATA/998/2023 du 12 septembre 2023 consid. 5.1). Elle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135 I 233 consid. 2.1; 131 I 333 consid. 4.2 ; arrêt du Tribunal fédéral 1C_92/2023 du 12 février 2024 consid. 4.1). Selon la doctrine, reprise par la chambre de céans, les intérêts publics justifiant des restrictions à la propriété peuvent résulter de l’ensemble des tâches, responsabilités et compétences que la Constitution confie aux pouvoirs publics et dont la concrétisation incombe au législateur. Ainsi, en principe, tout intérêt public permet de restreindre le droit de propriété (Giorgio MALINVERNI/Michel HOTTELIER/Maya HERTIG RANDALL/Alexandre FLÜCKIGER, Droit constitutionnel suisse, vol. II, 4 e éd., 2021, p. 454 ss n. 909 ; ATA/998/2023 du 12 septembre 2023 consid. 5.1 et l'arrêt cité).</w:t>
      </w:r>
    </w:p>
    <w:p>
      <w:r>
        <w:rPr>
          <w:b/>
        </w:rPr>
        <w:t>E. 5.6</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La fermeture définitive d'un établissement constitue une atteinte grave à la liberté économique ( ATA/480/2011 du 26 juillet 2011 consid. 4c).</w:t>
      </w:r>
    </w:p>
    <w:p>
      <w:r>
        <w:rPr>
          <w:b/>
        </w:rPr>
        <w:t>E. 5.7</w:t>
      </w:r>
    </w:p>
    <w:p>
      <w:r>
        <w:t>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rPr>
          <w:b/>
        </w:rPr>
        <w:t>E. 5.8</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5.9</w:t>
      </w:r>
    </w:p>
    <w:p>
      <w:r>
        <w:t>En l’espèce, le TAPI a estimé que la construction litigieuse ne pouvait être qualifiée de mineure, compte tenu qu’elle portait sur une surface de plus de 296 m 2 affectée exclusivement à l'activité professionnelle et prenait place en zone villa. La recourante n'avait cessé de requérir des délais successifs durant les quatre ans qu'avait duré la procédure visant la régularisation et avait adopté un comportement contraire au devoir de collaboration attendu dans le cadre d'une mise en conformité. La pesée entre l'intérêt privé, selon lequel la véranda-bureau était indispensable à l'activité du groupe, et l'intérêt public à rétablir une situation conforme au but poursuivi par la LCI et aux règles applicables dans la 5 e zone, conduisait à privilégier ce dernier. Ce raisonnement ne souffre aucune critique. L’intérêt privé de la recourante à pouvoir continuer d’utiliser les locaux litigieux pour l’exploitation de l’entreprise est certes important, et l’ordre de remise en état, soit en l’espèce de démolition de la véranda, porte une atteinte grave tant à son droit de propriété qu’à sa liberté économique. Cependant, la recourante a construit la véranda sans demander d’autorisation, alors qu’elle ne pouvait ignorer que celle-ci était requise par la loi, contrairement à ce qu’elle affirme. La décision querellée repose sur une base légale (art. 129 à 132 LCI). Elle poursuit un intérêt public important, tendant à exclure de la cinquième zone de construction les constructions qui, comme en l’espèce, ont été construites sans autorisation et ne sont pas autorisables car non-conformes à la destination de celle-ci, d’abriter des logements sous forme de villas (art. 19 al. 3 LaLAT). Cet intérêt public prime en l’espèce l’intérêt privé de la recourante. L’essence du droit de propriété exercé par la recourante sur la parcelle concernée n’est pas atteinte par l’ordre de remise en état, puisqu’elle reste propriétaire de celle‑ci et des autres bâtiments qu’elle abrite et peut continuer de les utiliser. S’agissant de sa liberté économique, il est loisible à la recourante, et il peut être exigé d’elle, d’exploiter la parcelle concernée conformément à la destination de sa zone, et de trouver ailleurs dans le canton, et surtout ailleurs qu’en zone villa, les locaux nécessaires aux activités de D______ qu’elle invoque. La recourante met en avant l’intérêt public à ce que ses nombreux employés ne se déplacent pas tous les jours pour la pause de midi. Le département a toutefois fait observer que la cafétéria représentée sur les plans avait une superficie d’environ 22 m 2 et ne comptait que 16 places, ce que la recourante n’a pas contesté, de sorte que cet argument, pour peu qu’il soit pertinent, n’est de toute façon pas de nature à étayer son argument. Il suit des considérations qui précèdent que la restriction portée par la décision litigieuse aux droits fondamentaux de la recourante est admissible sous l’angle de l’art. 36 Cst. Le grief sera écarté. La décision querellée a ainsi été rendue conformément à la loi et sans abus ni excès du pouvoir d’appréciation du département. Entièrement mal fondé, le recours sera rejeté.</w:t>
      </w:r>
    </w:p>
    <w:p>
      <w:r>
        <w:rPr>
          <w:b/>
        </w:rPr>
        <w:t>E. 6</w:t>
      </w:r>
    </w:p>
    <w:p>
      <w:r>
        <w:t>Vu l'issue du litige, un émolument de CHF 2'000.- sera mis à la charge de la recourante, qui succombe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