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A/1367/2003 vom 29. Juni 2004</w:t>
      </w:r>
    </w:p>
    <w:p>
      <w:r>
        <w:t>GE Cour de justice, 2004-06-29, FR</w:t>
      </w:r>
    </w:p>
    <w:p>
      <w:r>
        <w:rPr>
          <w:b/>
        </w:rPr>
        <w:t xml:space="preserve">Quelle: </w:t>
      </w:r>
      <w:r>
        <w:t>https://mcp.opencaselaw.ch/entscheid/ge_gerichte_A_1367_2003</w:t>
      </w:r>
    </w:p>
    <w:p>
      <w:r>
        <w:t>FR: GE_GERICHTE A/1367/2003 du 29 juin 2004</w:t>
      </w:r>
    </w:p>
    <w:p>
      <w:r>
        <w:t>IT: GE_GERICHTE A/1367/2003 del 29 giugno 2004</w:t>
      </w:r>
    </w:p>
    <w:p>
      <w:pPr>
        <w:pStyle w:val="Heading2"/>
      </w:pPr>
      <w:r>
        <w:t>Regeste</w:t>
      </w:r>
    </w:p>
    <w:p>
      <w:r>
        <w:t>; AI(ASSURANCE) ; EXPERTISE ; RÉVISION(DÉCISION) ; RECONSIDÉRATION ; FAITS NOUVEAUX</w:t>
      </w:r>
    </w:p>
    <w:p>
      <w:pPr>
        <w:pStyle w:val="Heading2"/>
      </w:pPr>
      <w:r>
        <w:t>Erwägungen</w:t>
      </w:r>
    </w:p>
    <w:p>
      <w:r>
        <w:rPr>
          <w:b/>
        </w:rPr>
        <w:t>E. 22</w:t>
      </w:r>
    </w:p>
    <w:p>
      <w:r>
        <w:t>Dans sa réplique du 26 septembre 2003, la recourante a conclu à l’annulation de la décision du 3 janvier 2003 et de la décision sur opposition du 18 mars 2003, ainsi qu’à l’octroi d’une rente entière d’invalidité dès le 1 er septembre 1997. Elle a souligné que l’atteinte psychique, qualifiée par le Dr I__________, l’expert psychiatre du COMAI, de syndrome somatoforme douloureux persistant et de trouble schizotypique, paraissait l’obstacle déterminant à toute reprise d’activité professionnelle, de l’avis tant des experts du COMAI, lesquels ont suivi le taux d’incapacité de travail de 60 % fixé par le psychiatre, que du Dr E__________.</w:t>
      </w:r>
    </w:p>
    <w:p>
      <w:r>
        <w:rPr>
          <w:b/>
        </w:rPr>
        <w:t>E. 23</w:t>
      </w:r>
    </w:p>
    <w:p>
      <w:r>
        <w:t>Dans sa réponse du 27 octobre 2003, l’OCAI a déclaré maintenir sa position, selon laquelle il n’y avait aucun motif de révision et persisté dans ses conclusions telles que contenues dans son préavis du 4 août 2003. Il a en particulier relevé que le Dr E__________ ne s’était pas prononcé sur une modification de l’état de santé de la recourante postérieurement à 1997 et qu’il avait spécifié que son état était stationnaire à cette date. Il a de plus rappelé que les experts du COMAI avaient pour leur part très clairement répondu par la négative à sa question relative à une modification notable et objective de l’état de santé de la recourante depuis juin 1993. EN DROIT a) La loi genevoise sur l’organisation judiciaire (LOJ) a été modifiée et a institué, dès le 1er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 à trois juges titulaires, ce, dans l’attente de l’élection de nouveaux assesseurs.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 notamment (cf. article 56 V LOJ). Sa compétence pour juger du cas d’espèce est ainsi établie. La loi fédérale sur la partie générale dur droit des assurances sociales du 6 octobre 2000 (ci-après la LPGA), entrée en vigueur au 1 er janvier 2003, a entraîné des modifications en matière d’assurance-invalidité. Elle est applicable ici, de même que les règles de la loi fédérale sur l’assurance-invalidité du 19 juin 1959 (ci-après LAI) et de son règlement. Déposé dans la forme et délai imposés par la loi, le présent recours est recevable, en vertu des articles 60 LPGA et 69 LAI. Selon l’art. 8 al. 1 LPGA, est réputée invalidité l’incapacité de gain totale ou partielle qui est présumée permanente ou de longue durée. L’art. 4 al. 1 LAI précise que l’invalidité peut résulter d’une infirmité congénitale, d’une maladie ou d’un accident. Le droit à la rente est déterminé par l’art. 28 al. 1 LAI qui dispose que l’assuré a droit à une rente s’il est invalide à 40% au moins. La rente est entière pour une invalidité de 66 2/3% au moins, elle est d’une demie pour une invalidité de 50% au moins et d’un quart pour une invalidité de 40% au moins. Dans l’assurance-invalidité, il est possible de fixer les faits médicaux déterminants sur le plan juridique en recourant aux rapports demandés par l’office de l’assurance-invalidité aux médecins traitants, aux expertises de spécialistes extérieurs et aux examens pratiqués par les centres d’observation créés à cet effet (art. 69 al. 2 et 72 bis RAI ; VSI 1997 p. 318).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Selon ce principe, les organismes d’assurance et les juges apprécient librement les preuves, ce qui signifie, s’agissant de la procédure de recours, que le juge des assurances sociales doit examiner objectivement tous les moyens de preuve, quelle qu’en soit la provenance, puis décider si les pièces à sa disposition permettent de porter un jugement sur le droit litigieux. S’il se trouve en présence de rapports médicaux contradictoires, il ne peut pas liquider l’affaire sans apprécier l’ensemble du matériel probatoire et indiquer les raisons pour lesquelles il se fonde sur une thèse médicale et non pas sur une autre (ATFA du 31 juillet 1997 ; VSI 1997 p. 319). D’après la jurisprudence du Tribunal fédéral des assurances,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161 , consid. 1c).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122 V 160 et les références).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 RJJ 1995 p. 44 ; RCC 1988 p. 504 consid. 2). Par décision du 3 janvier 2003, l’intimée a octroyé à l’assurée une demi-rente d’invalidité, alors qu’elle avait refusé une première demande de rente le 25 juin 1993. Elle s’est appuyé pour ce faire sur les conclusions du COMAI, qui a reconnu à l’assurée une incapacité de travail de 60%. Ce faisant, elle a révisé sa décision initiale de refus. Suite au recours de l’assuré, interjeté le 8 avril 2003, l’OCAI est revenue sur ses premières considérations, estimant que sa décision du 3 janvier 2003 ainsi que celle sur opposition du 18 mars 2003 étaient erronées et favorisaient à tort la recourante. Il conclut ainsi, dans son préavis du 4 août 2003, à la reformatio in pejus, soutenant en substance que depuis sa décision de refus de prestations de juin 1993 la situation de l’assurée ne s’était pas modifiée de manière à influencer ses droits. La recourante, quant à elle, conteste le taux d’invalidité retenu par l’OCAI, s’estimant totalement incapable de travailler. Elle s’appuie sur l’avis du Dr E__________, qui a considéré, dans son rapport du 22 septembre 1997, qu’elle n’avait pas « de capacité de travail exploitable, ni dans sa profession de base (infirmière), ni dans une autre profession, ceci en raison de troubles de la santé physique et psychique ». La question à résoudre ici est d’abord de savoir si l’OCAI était fondé à réviser sa décision du 25 juin 1993 ou si, comme il le prétend, il y a lieu de procéder à une reformatio in pejus, la recourante n’ayant droit à aucune prestation AI. S’il s’avérait que les conditions d’une révision étaient remplies, il resterait ensuite à déterminer le taux d’invalidité de la recourante. Selon l’art. 17 al. 1 LPGA (révision),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consid. 2 et la référence ; cf. aussi ATF 112 V 372 consid. 2b et 390 consid. 1b). En vertu de l’art. 53 al. 2 LPGA (reconsidération), l’assureur peut revenir sur les décisions ou les décisions sur opposition formellement passées en force lorsqu’elles sont manifestement erronées et que leur rectification revêt une importance notable. Jusqu’à l’envoi de son préavis à l’autorité de recours, l’assureur peut reconsidérer une décision ou une décision sur opposition contre laquelle un recours a été formé (art. 53 al. 3 LPGA). La circulaire concernant l’invalidité et l’impotence (ci-après la CIIAI) précise, au n° 5031, que la reconsidération a pour but de rectifier une décision manifestement erronée formellement passée en force. A la différence de la révision, aucune modification essentielle de la situation n’est nécessaire à la procédure de reconsidération (Voir circ. sur le contentieux ; RCC 1987 p. 36, 1985 p. 58 et 332, 1980 p. 58, 1963 p. 273). Pour qu’il y ait reconsidération, il faut, en plus du caractère indubitablement incorrect de la décision d’origine, que la rectification revête une importance significative et que la décision n’ait pas déjà été prise par un tribunal (n°5032 de la CIIAI). Enfin, il revient à l’office AI de juger s’il veut procéder à une reconsidération. Ce n’est pas le tribunal mais l’OFAS qui peut l’y contraindre (n°5033 de la CIIAI). D’après l’art. 53 al. 1 LPGA (révision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faits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110 V 141 consid. 2, 293 consid. 2a, 108 V 171 consid. 1 ; cf. aussi ATF 118 II 205 ). Eu égard à la jurisprudence précitée, il y a lieu d’examiner la cause sous trois angles juridiques différents. Il s’agit de déterminer, en premier lieu, s’il existe un motif de révision au sens de l’art. 17 al. 1 LPGA. Il ressort de l’expertise du COMAI, dont la valeur probante doit être admise en l’absence d’indice permettant d’en douter, que la recourante présente un syndrome somatoforme douloureux persistant sous la forme de cervico-lombalgies, de douleurs polyarticulaires et de la musculature, de céphalées, de trouble schizotypique et de diverticulose du côlon. Selon les experts, il n’y a pas eu une aggravation de l’état de santé de la recourante depuis juin 1993. Il apparaît cependant, d’une part, qu’à l’époque, la demande de prestations AI n’avait pas donné lieu à des investigations médicales, étant donné le motif de refus – l’assurée n’avait subi aucune interruption dans son travail propre à ouvrir le droit à une rente d’invalidité - et que, d’autre part, la CRAVS, qui avait alors confirmé la décision de refus de rente, s’était appuyé sur les constatations des médecins mandatés par l’assurance-accident, lesquels ne faisaient état dans leurs rapports d’aucun trouble psychique, puisqu’ils se limitaient à relever les handicaps d’ordre exclusivement physiques. Or, l’investigation menée par les experts du COMAI démontre, selon eux, l’existence d’un syndrome somatoforme douloureux persistant, vraisemblablement apparu au début des années 80, ainsi que d’un trouble schizotypique, qui était certainement présent avant le licenciement de l’assurée en 1991 et ses deux traumatismes. Au vu de ces constatations médicales, on constate, qu’en l’absence d’une modification de l’état de santé tant physique que psychique de la recourante, une révision au sens de l’art. 17 al. 1 LPGA ne se justifie pas. De même, les conditions d’une reconsidération de la décision du 25 juin 1993, au sens de l’art. 53 al. 2 LPGA, ne sont pas non plus remplies. En effet, en tant que la décision concernée a fait l’objet d’une procédure de recours par-devant la Commission de recours donnant lieu à un jugement, elle ne peut plus être reconsidérée par l’assureur. Quoi qu’il en soit, si les conditions d’une reconsidération étaient réunies, il ne serait pas de la compétence du Tribunal de céans de contraindre l’OCAI à y procéder (cf. CIIAI, n° 5032 et 5034). Il reste à examiner si les conditions d’une révision (procédurale) de la décision du 25 juin 1993 sont remplies (art. 53 al. 1 LPGA). Dans leur rapport du 7 mai 2001, les experts du COMAI ont mis en évidence l’existence d’un syndrome somatoforme douloureux persistant. Ce dernier serait apparu au début des années 80 et aurait été réactivé à la suite du premier traumatisme de septembre 1989, mais aussi dans le contexte d’une situation familiale délicate, puisque, durant cette période, l’on aurait découvert la maladie épileptique de la fille de la recourante. Une nouvelle résurgence du trouble au début de l’année 1991 correspondrait à la période de son licenciement. Lesdits experts ont également relevé la présence d’un trouble schizotypique, qu’ils mettent sur le compte d’un parcours de vie chaotique et destructurant : décès précoce de la mère lors d’un bombardement, peu de contact paternel, rapports amoureux instables et conflictuels. De même, le Dr E__________ relève, dans son rapport du 22 septembre 1997, que la patiente n’a pas de capacité de travail exploitable en raison de troubles physiques et psychiques (manifestations anxio-dépressives majeures, selon lui). On constate ainsi que les éléments mis en lumière par les experts du COMAI – plus précisément par le Dr I__________, spécialiste en psychiatrie – sont nouveaux au sens de la jurisprudence précitée. En effet, il résulte des pièces au dossier que lesdits troubles psychiques n’avaient pas été mis en évidence auparavant, dans le cadre de la première procédure de demande de prestations AI. L’expertise ne fait pas qu’apporter une précision diagnostique sur une situation connue, contrairement à ce que prétend l’OCAI. Certes, le Dr G__________ a relevé, dans son rapport du 21 juin 1993, que sa patiente était très instable psychiquement. Il sied toutefois d’observer qu’il ne s’agit là que d’une constatation laconique, évoquée de surcroît par un médecin cardiologue et n’ayant donné lieu à aucune investigation complémentaire par un médecin psychiatre, de sorte qu’elle se révèle insignifiante et qu’elle n’a donc pas à être prise en compte. Par ailleurs, il convient de noter que ces nouvelles constatations ne pouvaient être connues de la recourante avant qu’il ne soit véritablement procédé à une investigation sur le plan psychiatrique, dans le cadre de l’expertise multidisciplinaire du COMAI. Enfin, les faits nouveaux rapportés sont importants, dans la mesure où ils sont de nature à modifier l’état de fait qui est à la base de la décision entreprise et à conduire à un jugement différent, le consilium du COMAI ayant retenu un taux d’incapacité de travail de 60% principalement en raison des troubles psychiques mis en lumière. Ainsi, si les troubles psychiques dont fait état l’expertise du COMAI existaient déjà au moment où l’OCAI a rendu sa décision du 25 juin 1993, ils n’en constituent pas moins des éléments nouveaux dans la mesure où ils avaient passé inaperçus à l’époque et, partant, n’avaient pas fait l’objet d’investigations. Il sied à présent d’examiner si le taux d’incapacité de travail retenu par le COMAI se justifie. Selon la jurisprudence du TFA, s’agissant de la capacité de travail – dans une activité exigible – d’un assuré dont la pathologie est principalement ou exclusivement marquée par la douleur, sans substrat organique ou sans corrélation avec un état clinique patent, il y a lieu de retenir principalement, les conclusions globales de l’expertise pluridisciplinaire et non celles, forcément sectorielles, des spécialistes s’exprimant dans leur seul domaine. En effet, l’expertise pluridisciplinaire, qui prend en compte l’ensemble des différents troubles présentés par le patient et leurs interférences possibles, paraît la plus appropriée à la détermination objective de la capacité de travail dans une activité exigible (ATFA non publié I 50/03 du 6 août 2003). En l’occurrence, d’un point de vue rhumatologique seul, il a été retenu une incapacité de travail de 50 % dans une activité adaptée. Le consilium du COMAI a, quant à lui, suivi l’avis du consultant en psychiatrie, selon lequel il y avait lieu de retenir une incapacité de travail de 60% en raison des troubles psychiques dont souffre la recourante. Ledit consilium a précisé que la capacité résiduelle de travail devait être employée dans une activité adaptée, soit dans des travaux légers, de manutention simple, sans port de charges excédant 15 kg ni mouvements répétitifs. Il a relevé que le travail d’infirmière en policlinique, tel que l’assurée l’avait déjà pratiqué par le passé, semblait approprié à son état de santé physique et psychique, contrairement à la pratique de la même activité dans une maison de retraite. Eu égard à la jurisprudence précitée, il y a lieu de suivre les conclusions globales de l’expertise pluridisciplinaire et de retenir, dès lors, un taux d’incapacité de travail de 60%. Le Tribunal de céans ne saurait écarter lesdites conclusions, dans la mesure où aucun indice concret ne lui permet de douter de leur bien-fondé. Au demeurant, l’expertise prend en considération les plaintes de l’assurée, comporte une anamnèse détaillée et aboutit à des conclusions claires et motivées, si bien qu’il sied d’admettre que l’expertise du COMAI est le fruit d’examens complets. La recourante conteste le taux d’invalidité retenu, se considérant totalement incapable de travailler. Elle s’appuie sur le rapport du Dr E__________ du 22 septembre 1997, lequel a attesté une incapacité totale de travail. Ce même médecin a par ailleurs fait observer, dans son rapport du 20 septembre 1999, que la recourante avait échoué au bout de quelques heures dans une tentative d’observation professionnelle pratiquée dans le cadre d’Y__________, pour des raisons d’ordre psychologique principalement. Certes, les experts du COMAI posent également un pronostic réservé, compte tenu de l’âge de la recourante, de son arrêt de travail de longue durée – depuis février 1991 –, de son trouble somatoforme douloureux et de son trouble schizotypique associé, considérant qu’une réadaptation professionnelle serait illusoire et que les chances qu’elle reprenne une activité professionnelle un jour paraissent extrêmement minces. Toutefois, comme déjà relevé ci-dessus, l’expertise du COMAI n’apparaît pas critiquable dans son ensemble ; elle repose de plus sur une analyse plus fouillée que les rapports du Dr E__________, de sorte qu’il convient de la faire prévaloir sur ces derniers, s’agissant des conclusions relatives à la capacité de travail. Enfin, s’agissant du taux d’invalidité, compte tenu du fait que l’expertise du COMAI a retenu comme activité adaptée la profession que la recourante a exercée avant la survenance des atteintes à sa santé, soit la profession d’infirmière avec pour seule limitation qu’elle soit pratiquée en policlinique et non dans une maison de retraite, le taux d’invalidité correspond au taux d’incapacité de travail, de sorte qu’il s’élève lui aussi à 60%. Au vu de ces éléments, force est d’admettre que l’OCAI était fondé à réviser sa décision du 25 juin 1993. C’est également à bon droit qu’il a octroyé à la recourante une demi-rente d’invalidité sur la base d’un taux d’incapacité de 60%. C’est par conséquent, à tort, que l’intimée est revenue sur cet avis, en concluant, dans son préavis du 4 août 2003, à la reformatio in pejus. Quant aux conclusions de la recourante, il sied de ne pas y donner droit, en tant qu’elles contredisent celles de l’expertise du COMAI, dont la valeur probante doit être admise. Reste, en dernier lieu, à déterminer partir de quand la demi-rente d’invalidité doit être allouée à l’assurée. Dans sa décision du 3 janvier 2003, l’OCAI a reconnu que le droit de la recourante aux prestations AI naissait en juin 1994, mais que le versement de ces dernières ne pouvait être effectué qu’à partir de mars 1997. En effet, il a considéré que la seconde demande était tardive et que l’assurée ne s’était pas trouvée dans l’impossibilité objective de déposer sa demande avant mars 1998, si bien qu’en application de l’art. 48 al. 2 LAI le versement rétroactif de la prestation ne pouvait se faire que pour les douze mois précédant la demande. La recourante, quant à elle, soutient qu’elle n’était pas en mesure de connaître, avant le mois de janvier 1998, les faits ouvrant droit aux prestations. Selon l’art. 24 al. 1 LPGA, par renvoi de l’art. 48 al. 1 LAI, le droit à des prestations ou à des cotisations arriérées s’éteint cinq ans après la fin du mois pour lequel la prestation était due et cinq ans après la fin de l’année civile pour laquelle la cotisation devait être payée. Aux termes de l’art. 48 al. 2 LAI,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connaître les faits donnant droit à prestation et qu’il présente sa demande dans les douze mois dès le moment où il en a eu connaissance. La CIIAI (n° 2041) précise que lorsque la personne assurée ne pouvait connaître les circonstances donnant droit à la rente ou si elle a été objectivement empêchée d’agir en temps utile pour cause de force majeure (p. ex. lors d’une maladie psychique grave), des prestations lui seront dès lors allouées rétroactivement à condition qu’elle présente une demande dans les 12 mois qui suivent le moment où elle a pris connaissance des faits ou la cessation de l’empêchement (RCC 1988 p. 597, 1984 p. 420 s. consid. 1., 1975 p. 134). Dans ce cas, les prestations seront accordées à la personne assurée dès le moment où toutes les conditions étaient objectivement réalisées pour le droit à la rente. Le paiement des prestations arriérées ne s’effectue toutefois rétroactivement qu’au maximum sur cinq ans à partir du mois auquel la demande a été présentée (n° 10123 DR). En l’espèce, il résulte du dossier médical que seuls des troubles physiques ont été mis en évidence durant l’instruction menée par l’assurance-accident, ce y compris jusqu’à la décision de l’OCAI du 25 juin 1993 et la confirmation de ladite décision par la Commission de recours, qui s’est basée sur les mêmes rapports médicaux. Ce n’est qu’en septembre 1997 que des troubles psychiques ont pour la première fois été signalés de façon sérieuse et que leur découverte a fait l’objet d’un rapport médical détaillé (rapport du Dr E__________, daté du 22 septembre 1997). Le médecin en cause, consulté sur demande du service juridique de l’Hospice Général, relevait de surcroît que la recourante ne bénéficiait d’aucune capacité de travail exploitable en raison de troubles de la santé d’ordre physique et psychique. Il a de même fait observer que le stage d’observation initié par l’assurée le 15 décembre 1997 a dû être interrompu au bout de quelques heures, pour des raisons d’ordre psychologique principalement. Il y a dès lors lieu de conclure que c’est à cette période, soit en septembre ou, dans tous les cas, en décembre 1997, que la recourante a été informée pour la première fois de l’existence de ses troubles psychiques. Par la suite, les experts du COMAI ont précisé le diagnostic, en retenant chez l’assurée la présence d’un syndrome somatoforme douloureux persistant et d’un trouble schizotypique, qui existaient déjà, d’après eux, avant les deux traumatismes de 1989 et de 1991. Le Tribunal de céans est donc d’avis que la recourante n’était pas consciente avant septembre, voire décembre 1997, du fait qu’elle avait des troubles psychiatriques et que ce n’était pas uniquement en raison de ses troubles physiques qu’elle s’était trouvée empêchée de reprendre une activité lucrative depuis son licenciement en 1991. Du reste, peu après la consultation chez le Dr E__________ et l’échec de son stage d’observation, la recourante a déposé, en mars 1998, une nouvelle demande de prestations AI sous forme de rente. Dès lors qu’elle a présenté sa demande dans les douze mois dès le moment où elle a eu connaissance des faits ouvrant droit à prestations, l’intéressée peut être mise au bénéfice de l’art. 48 al. 2 2 ème phrase LAI et obtenir des prestations dans la limite du délai prévu à l’art. 48 al. 1 LAI. Comme l’indique l’OCAI dans sa décision d’octroi du 3 janvier 2003, les conditions pour le droit à la rente étaient réalisées en juin 1994. La demi-rente d’invalidité pourra être accordée dès cette date, dans la mesure où le délai maximum de cinq à compter rétroactivement à partir du mois auquel la demande de 1998 a été présentée est bel et bien respecté. Sur le vu de ce qui précède, le recours est donc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