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A/1360/2011 vom 13. November 2012</w:t>
      </w:r>
    </w:p>
    <w:p>
      <w:r>
        <w:t>GE Cour de justice, 2012-11-13, FR</w:t>
      </w:r>
    </w:p>
    <w:p>
      <w:r>
        <w:rPr>
          <w:b/>
        </w:rPr>
        <w:t xml:space="preserve">Quelle: </w:t>
      </w:r>
      <w:r>
        <w:t>https://mcp.opencaselaw.ch/entscheid/ge_gerichte_A_1360_2011</w:t>
      </w:r>
    </w:p>
    <w:p>
      <w:r>
        <w:t>FR: GE_GERICHTE A/1360/2011 du 13 novembre 2012</w:t>
      </w:r>
    </w:p>
    <w:p>
      <w:r>
        <w:t>IT: GE_GERICHTE A/1360/2011 del 13 novembre 2012</w:t>
      </w:r>
    </w:p>
    <w:p>
      <w:pPr>
        <w:pStyle w:val="Heading2"/>
      </w:pPr>
      <w:r>
        <w:t>Regeste</w:t>
      </w:r>
    </w:p>
    <w:p>
      <w:r>
        <w:t>; FONCTIONNAIRE ; DROIT DISCIPLINAIRE ; MESURE DISCIPLINAIRE ; PROPORTIONNALITÉ | Confirmation d'un blâme infligé par les HUG à une aide-soignante pour n'avoir pas eu un comportement adapté à la situation des personnes malades ni fait preuve de tact, de patience et de compréhension comme le requérait sa fonction. Faute de retenue de gravité moyenne. | LPAC.16.al1.leta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En l'espèce, il convient de tenir compte du fait que cet incident est tout à fait isolé dans la carrière de l'intéressée. L'instruction a démontré que la recourante n'avait pas d'antécédents et que ses prestations avaient toujours été évaluées comme tout à fait satisfaisantes par ses supérieurs. En outre, son attitude avait été qualifiée comme empathique, respectueuse, ouverte et chaleureuse, à l'écoute des besoins des patients. Compte tenu également de la gravité relative de la faute de la recourante, le prononcé d'un blâme, qui correspond à la sanction la plus faible du catalogue prévu par la loi, apparaît comme adéquat.</w:t>
      </w:r>
    </w:p>
    <w:p>
      <w:r>
        <w:rPr>
          <w:b/>
        </w:rPr>
        <w:t>E. 11</w:t>
      </w:r>
    </w:p>
    <w:p>
      <w:r>
        <w:t>Au vu de ce qui précède, le recours de Mme X______ sera rejeté. Un émolument de CHF 1'000.- sera mis à la charge de la recourante. Aucune indemnité de procédure ne sera allouée aux HUG conformément à la jurisprudence de la chambre de céans ( ATA/79/2011 du 8 février 2011 - art. 87 LPA).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