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A/1356/2008 vom 8. April 2008</w:t>
      </w:r>
    </w:p>
    <w:p>
      <w:r>
        <w:t>GE Cour de justice, 2008-04-08, FR</w:t>
      </w:r>
    </w:p>
    <w:p>
      <w:r>
        <w:rPr>
          <w:b/>
        </w:rPr>
        <w:t xml:space="preserve">Quelle: </w:t>
      </w:r>
      <w:r>
        <w:t>https://mcp.opencaselaw.ch/entscheid/ge_gerichte_A_1356_2008</w:t>
      </w:r>
    </w:p>
    <w:p>
      <w:r>
        <w:t>FR: GE_GERICHTE A/1356/2008 du 8 avril 2008</w:t>
      </w:r>
    </w:p>
    <w:p>
      <w:r>
        <w:t>IT: GE_GERICHTE A/1356/2008 del 8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8 avril 2008 ( ATA/169/2008 ), le Tribunal administratif a déclaré irrecevable la demande en reconsidération et en constatation déposée le 25 février 2008 par Madame M______ contre l'arrêt de ce même tribunal du 27 mars 2007. L'attention de Mme M______ a été attirée sur l'article 88 de la loi sur la procédure administrative du 12 septembre 1985 (LPA E 5.10), permettant d'infliger une amende pour emploi abusif de procédure. La voie et le délai de recours au Tribunal fédéral étaient expressément indiqués.</w:t>
      </w:r>
    </w:p>
    <w:p>
      <w:r>
        <w:rPr>
          <w:b/>
        </w:rPr>
        <w:t>E. 2</w:t>
      </w:r>
    </w:p>
    <w:p>
      <w:r>
        <w:t>Le 17 avril 2008, Mme M______ a formé « opposition (réclamation) » au sens des articles 50, 51 et 52 LPA à l'encontre de l' ATA/169/2008 du 8 avril 2008. Elle s'opposait à ce que sa demande en reconsidération et en constatation du 25 février 2008 soit réduite à une question de recevabilité, c'est-à-dire qualifiée de tardive et déclarée irrecevable. Son argumentation était largement appellatoire.</w:t>
      </w:r>
    </w:p>
    <w:p>
      <w:r>
        <w:rPr>
          <w:b/>
        </w:rPr>
        <w:t>E. 3</w:t>
      </w:r>
    </w:p>
    <w:p>
      <w:r>
        <w:t>Dans sa réponse du 6 mai 2008, la mairie d'Onex a conclu à l'irrecevabilité de l'opposition du 17 avril 2008 formée par Mme M______ et à ce que celle-ci soit condamnée à une amende pour emploi abusif de procédure. Les conditions de l'ouverture d'une procédure d'opposition prévues aux articles 50 et suivants LPA n'étaient pas réunies en l'espèce.</w:t>
      </w:r>
    </w:p>
    <w:p>
      <w:r>
        <w:rPr>
          <w:b/>
        </w:rPr>
        <w:t>E. 4</w:t>
      </w:r>
    </w:p>
    <w:p>
      <w:r>
        <w:t>Dans son arrêt du 8 avril 2008, le Tribunal de céans a averti Mme M______ que l'emploi abusif des procédures pouvait entraîner le prononcé d’une amende. L'intéressé n'en a pas tenu compte puisqu'elle n'a pas hésité à saisir une nouvelle fois le Tribunal administratif d'une demande qui consacre manifestement l'emploi abusif de procédure. Mme M______ sera donc condamnée à une amende de CHF 500.-.</w:t>
      </w:r>
    </w:p>
    <w:p>
      <w:r>
        <w:rPr>
          <w:b/>
        </w:rPr>
        <w:t>E. 5</w:t>
      </w:r>
    </w:p>
    <w:p>
      <w:r>
        <w:t>Vu la nature du litige aucun émolument ne sera perçu (art. 37 al. 5 de la loi sur l'information du public et l'accès aux documents du 5 octobre 2001 ; LIPAD - A 2.08). Aucune indemnité ne sera allouée à la mairie d'Onex qui agit en personne et n'allègue pas avoir exposé des frais pour sa défense.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