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A/1353/2018 vom 9. August 2018</w:t>
      </w:r>
    </w:p>
    <w:p>
      <w:r>
        <w:t>GE Cour de justice, 2018-08-09, FR</w:t>
      </w:r>
    </w:p>
    <w:p>
      <w:r>
        <w:rPr>
          <w:b/>
        </w:rPr>
        <w:t xml:space="preserve">Quelle: </w:t>
      </w:r>
      <w:r>
        <w:t>https://mcp.opencaselaw.ch/entscheid/ge_gerichte_A_1353_2018</w:t>
      </w:r>
    </w:p>
    <w:p>
      <w:r>
        <w:t>FR: GE_GERICHTE A/1353/2018 du 9 août 2018</w:t>
      </w:r>
    </w:p>
    <w:p>
      <w:r>
        <w:t>IT: GE_GERICHTE A/1353/2018 del 9 agosto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09.08.2018 A/1353/2018</w:t>
      </w:r>
    </w:p>
    <w:p>
      <w:r>
        <w:t>A/1353/2018 ATAS/681/2018 du 09.08.2018 ( AI ) , RETIRE rÉpublique et canton de genÈve POUVOIR JUDICIAIRE A/1353/2018 ATAS/681/2018 COUR DE JUSTICE Chambre des assurances sociales Arrêt du 9 août 2018 3 ème Chambre En la cause Monsieur A______, domicilié à GENÈVE, comparant avec élection de domicile en l'étude de Maître Florian BAIER recourant contre OFFICE DE L'ASSURANCE-INVALIDITÉ DU CANTON DE GENÈVE, Service juridique, sis rue des Gares 12, GENÈVE intimé Vu la décision de l’office de l’assurance-invalidité (ci-après : OAI) du 26 mars 2018 ; Vu le recours du 25 avril 2018 de Monsieur A______ (ci-après : le recourant) ; Vu la réponse de l’OAI du 17 mai 2018 ; Attendu que, par écriture du 23 juillet 2018 (recte : 3 juillet), le recourant a indiqué qu’au vu de la faiblesse de la valeur litigieuse, il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