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A/1346/2011 vom 25. Mai 2011</w:t>
      </w:r>
    </w:p>
    <w:p>
      <w:r>
        <w:t>GE Cour de justice, 2011-05-25, FR</w:t>
      </w:r>
    </w:p>
    <w:p>
      <w:r>
        <w:rPr>
          <w:b/>
        </w:rPr>
        <w:t xml:space="preserve">Quelle: </w:t>
      </w:r>
      <w:r>
        <w:t>https://mcp.opencaselaw.ch/entscheid/ge_gerichte_A_1346_2011</w:t>
      </w:r>
    </w:p>
    <w:p>
      <w:r>
        <w:t>FR: GE_GERICHTE A/1346/2011 du 25 mai 2011</w:t>
      </w:r>
    </w:p>
    <w:p>
      <w:r>
        <w:t>IT: GE_GERICHTE A/1346/2011 del 25 maggio 2011</w:t>
      </w:r>
    </w:p>
    <w:p>
      <w:pPr>
        <w:pStyle w:val="Heading2"/>
      </w:pPr>
      <w:r>
        <w:t>Volltext</w:t>
      </w:r>
    </w:p>
    <w:p>
      <w:r>
        <w:t>Genève Cour de justice (Cour de droit public) Chambre administrative 25.05.2011 A/1346/2011</w:t>
      </w:r>
    </w:p>
    <w:p>
      <w:r>
        <w:t>A/1346/2011 ATA/343/2011 du 25.05.2011 ( FPUBL ) , REFUSE RÉPUBLIQUE ET CANTON DE GENÈVE POUVOIR JUDICIAIRE A/1346/2011-FPUBL ATA/343/2011 COUR DE JUSTICE Chambre administrative Décision du 25 mai 2011 sur effet suspensif dans la cause Monsieur H______ représenté par Me Nathalie Bornoz, avocate contre HÔPITAUX UNIVERSITAIRES DE GENÈVE représentés par Me Pierre Martin-Achard, avocat Vu la décision prise le 10 mars 2011 par le bureau du conseil d’administration des Hôpitaux universitaires de Genève (ci-après : HUG) de révoquer Monsieur H______ avec effet au 30 juin 2011 en application de l’art. 16 al. 1 let. c ch. 5 de la loi générale relative au personnel de l’administration cantonale, du pouvoir judiciaire et des établissements publics médicaux du 4 décembre 1997 (LPAC - B 5 05) au motif qu’il avait eu le 16 juillet 2010 une altercation avec Monsieur A______, qu’il avait frappé violemment ; vu la condamnation de M. H______ prononcée le 18 octobre 2010 par le Procureur général pour lésions corporelles simples à une peine pécuniaire de vingt jours-amende avec sursis et à une amende de CHF 600.- ; vu le recours interjeté le 6 mai 2011 par M. H______ à l’encontre de la décision de révocation auprès de la chambre administrative de la section administrative de la Cour de justice (ci-après : la chambre administrative) concluant préalablement à la restitution de l’effet suspensif et principalement à l’annulation de la décision précitée ainsi qu’à sa réintégration au sein des HUG ; vu le jugement du Tribunal de police (ci-après : TP) du 1 er mars 2011 produit par M. H______, le TP l’ayant acquitté après avoir retenu que l’intéressé se trouvait en état de légitime défense putative ; vu la détermination des HUG déposée au greffe de la chambre de céans le 24 mai 2011 par laquelle ceux-ci concluent au rejet de la demande d’effet suspensif, en précisant qu’ils n’avaient pas l’intention de poursuivre les rapports de travail avec le recourant et se référant à la jurisprudence de la chambre de céans ; attendu en droit : que sauf dispositions légales contraires, le recours a effet suspensif (art. 66 al. 1 de la loi sur la procédure administrative du 12 septembre 1985 - LPA - E 5 10) ; que l’autorité peut toutefois comme en l’espèce ordonner l’exécution immédiate de sa propre décision, nonobstant recours ; qu’à teneur de l’art. 66 al. 2 LPA, l’autorité judiciaire peut restituer l’effet suspensif au recours ; que selon l’art. 5 LPAC, est un fonctionnaire le membre du personnel régulier nommé pour une durée indéterminée après avoir accompli comme employé une période probatoire ; que selon les art. 30 al. 3 et 31 al. 2 LPAC, la chambre administrative ne peut imposer la réintégration d’un agent public en cas de révocation, sauf si elle constate l’absence de violation des devoirs de service, ce qui, in casu , ne s’impose pas d’emblée et doit faire l’objet d’une instruction ( ATA/627/2010 du 8 septembre 2010) ; que dans sa détermination, l’autorité intimée a clairement indiqué qu’elle n’entendait pas poursuivre les relations de travail avec M. H______, ce qui constitue une motivation suffisante du caractère exécutoire de la décision initiale ; que s’il était fait droit à la demande de restitution de l’effet suspensif présentée par le recourant, la chambre de céans rendrait une décision allant au-delà des compétences qui sont les siennes sur le fond, de sorte qu’il n’y a pas lieu de procéder en l’espèce à une pesée des intérêts en présence ; que face à une telle situation, la demande d’effet suspensif sera rejetée ( ATA/160/2011 du 11 mars 2011 ; ATA/627/2010 précité : ATA/388/2009 du 11 août 2009 ; ATA/341/2009 du 21 juillet 2009 et les références citées) ; vu l’art. 7 du règlement interne de la chambre administrative du 21 décembre 2010 entré en vigueur le 1 er janvier 2011 ; LA CHAMBRE ADMINISTRATIVE rejette la demande de restitution de l’effet suspensif formulée le 6 mai 2011 par Monsieur H______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Nathalie Bornoz, avocate du recourant, ainsi qu'à Me Pierre Martin-Achard, avocat des Hôpitaux universitaires de Genève. Le président siégeant : P.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