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A/1343/2022 vom 27. August 2024</w:t>
      </w:r>
    </w:p>
    <w:p>
      <w:r>
        <w:t>GE Cour de justice, 2024-08-27, FR</w:t>
      </w:r>
    </w:p>
    <w:p>
      <w:r>
        <w:rPr>
          <w:b/>
        </w:rPr>
        <w:t xml:space="preserve">Quelle: </w:t>
      </w:r>
      <w:r>
        <w:t>https://mcp.opencaselaw.ch/entscheid/ge_gerichte_A_1343_2022</w:t>
      </w:r>
    </w:p>
    <w:p>
      <w:r>
        <w:t>FR: GE_GERICHTE A/1343/2022 du 27 août 2024</w:t>
      </w:r>
    </w:p>
    <w:p>
      <w:r>
        <w:t>IT: GE_GERICHTE A/1343/2022 del 27 agosto 2024</w:t>
      </w:r>
    </w:p>
    <w:p>
      <w:pPr>
        <w:pStyle w:val="Heading2"/>
      </w:pPr>
      <w:r>
        <w:t>Regeste</w:t>
      </w:r>
    </w:p>
    <w:p>
      <w:r>
        <w:t>AMÉNAGEMENT DU TERRITOIRE ET DROIT PUBLIC DES CONSTRUCTIONS;CONSTRUCTION ET INSTALLATION;TRAVAUX DE CONSTRUCTION;PERMIS DE CONSTRUIRE;INSTALLATION DE TÉLÉCOMMUNICATION;ANTENNE;DROIT À L'ANTENNE;RADIOCOMMUNICATION;TÉLÉPHONE MOBILE;RAYONNEMENT ÉLECTROMAGNÉTIQUE;ORDONNANCE SUR LA PROTECTION CONTRE LE RAYONNEMENT NON IONISANT;VALEUR LIMITE(EN GÉNÉRAL);PRISE DE POSITION DE L'AUTORITÉ;CONCLUSIONS;FORMALISME EXCESSIF;DROIT D'ÊTRE ENTENDU;CONSTATATION DES FAITS;MAXIME INQUISITOIRE;LIMITATION DES ÉMISSIONS | Confirmation du jugement du TAPI portant sur une autorisation d'installer un groupe de six antennes conventionnelles pour téléphonie mobile fixées sur trois mâts sur la superstructure d'un bâtiment. Respect du droit de l'environnement, en particulier en matière de rayonnement non ionisant. Confirmation des valeurs calculées (VLInst) en relation avec la valeur limite de l'installation. Recours rejeté. | LPA.65; Cst.29.al1; Cst.5; Cst.9; Cst.29.al2; LPA.61; LPA.19; LPA.20; ORNI.61.ala annexe 1; ORNI.62.al1 annexe 1; ORNI.62.al2 annexe 1; ORNI.62.al3 annexe 1; ORNI.62.al4 annexe 1; LPE.1; LPE.7; LPE.11; LPE.12; LPE.13; ORNI.1; ORNI.4.al1; ORNI.3.al3; ORNI.2.al1; ORNI.4.al1; ORNI.13; ORNI.14; ORNI.12; ORNI.11; LPE.38; LPE.42; ORNI.64.alc annexe I; RPBV.4.al1; ORNI.63.al1 annexe 1</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 ; art. 149 LCI).</w:t>
      </w:r>
    </w:p>
    <w:p>
      <w:r>
        <w:rPr>
          <w:b/>
        </w:rPr>
        <w:t>E. 2</w:t>
      </w:r>
    </w:p>
    <w:p>
      <w:r>
        <w:t>La qualité pour recourir de la commune et des voisins a été examinée en détails par la juridiction inférieure et n'est pas contestée par les intimés.</w:t>
      </w:r>
    </w:p>
    <w:p>
      <w:r>
        <w:rPr>
          <w:b/>
        </w:rPr>
        <w:t>E. 3</w:t>
      </w:r>
    </w:p>
    <w:p>
      <w:r>
        <w:t>Dans ses conclusions, la recourante demande l'annulation du jugement du TAPI JTAPI/1109/2023 du 12 octobre 2023 dans la cause A/1201/2022.</w:t>
      </w:r>
    </w:p>
    <w:p>
      <w:r>
        <w:rPr>
          <w:b/>
        </w:rPr>
        <w:t>E. 3.1</w:t>
      </w:r>
    </w:p>
    <w:p>
      <w:r>
        <w:t>Selon l'art. 65 LPA, l’acte de recours contient, sous peine d’irrecevabilité, la désignation de la décision attaquée et les conclusions du recourant (al. 1). Il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rPr>
          <w:b/>
        </w:rPr>
        <w:t>E. 3.2</w:t>
      </w:r>
    </w:p>
    <w:p>
      <w:r>
        <w:t>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ATA/657/2022 du 23 juin 2022 consid. 2b). Une requête en annulation d’une décision doit par exemple être déclarée recevable dans la mesure où le recourant a, de manière suffisante, manifesté son désaccord avec la décision ainsi que sa volonté qu’elle ne développe pas d’effets juridiques ( ATA/640/2022 du 17 juin 2022 consid. 2d). Il n'y a pas d'exigences élevées s'agissant de la motivation du recours surtout si le recourant n'est pas assisté par un avocat : il suffit qu'on puisse déduire du recours dans quelle mesure et pour quelles raisons la décision est attaquée. Il est aussi admis que les conclusions ne soient pas mentionnées en tant que telles, mais ressortent clairement de la motivation du recours (Benoît BOVAY, Procédure administrative, 2 e éd., 2015, p. 544).</w:t>
      </w:r>
    </w:p>
    <w:p>
      <w:r>
        <w:rPr>
          <w:b/>
        </w:rPr>
        <w:t>E. 3.3</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145 I 201 consid. 4.2.1 ; arrêts du Tribunal fédéral 4D_30/2020 du 1er octobre 2020 consid. 4.1.1 ; 1C_673/2019 du 6 avril 2020 consid. 3.3 ; Jacques DUBEY, Droits fondamentaux, vol. 2, 2018, p. 806 n. 4046 ss ; Jacques DUBEY/Jean-Baptiste ZUFFEREY, Droit administratif général, 2014, p. 702 n. 2010). L'excès de formalisme peut résider soit dans la règle de comportement imposée au justiciable, soit dans la sanction qui lui est attachée (ATF 132 I 249 consid. 5 ; 130 V 177 consid. 5.4.1 ; arrêt du Tribunal fédéral 2C_382/2015 du 21 mai 2015 consid. 5.1 ; ATA/452/2020 du 7 mai 2020). Ainsi en va-t-il lorsque la violation d’une règle de forme de peu d’importance entraîne une sanction grave et disproportionnée, telle par exemple une décision d’irrecevabilité (ATF 133 V 402 consid. 3.3 ; arrêt du Tribunal fédéral 2C_824/2014 du 22 mai 2015 consid. 5.3 ; Pierre MOOR/Étienne POLTIER, Droit administratif, vol. 2, 3 e éd., 2011, p. 261 n. 2.2.4.6 et les références citées).</w:t>
      </w:r>
    </w:p>
    <w:p>
      <w:r>
        <w:rPr>
          <w:b/>
        </w:rPr>
        <w:t>E. 3.4</w:t>
      </w:r>
    </w:p>
    <w:p>
      <w:r>
        <w:t>En l'espèce, il est exact que la recourante s'est trompé en désignant le jugement attaqué en faisait référence à un autre jugement du TAPI. Il ressort néanmoins de la première page de son acte de recours que la recourante a clairement visé le JTAPI/1241/2023 de la cause A/1343/2022 LCI. En outre, dans ses conclusions, la recourante cite l'autorisation de construire DD 1______/1, soit celle dont le recours à son encontre a fait l'objet du JTAPI/1241/2023 . En outre, il ressort clairement du contenu de ses écritures que la recourante a manifesté son désaccord sur la solution retenue par le TAPI dans la cause A/1343/2022. On comprend dès lors qu'elle demande l'annulation du jugement précité. Le recours sera donc déclaré recevable. Retenir le contraire serait faire preuve de formalisme excessif, lequel est prohibé par l’art. 29 al. 1 Cst.</w:t>
      </w:r>
    </w:p>
    <w:p>
      <w:r>
        <w:rPr>
          <w:b/>
        </w:rPr>
        <w:t>E. 4</w:t>
      </w:r>
    </w:p>
    <w:p>
      <w:r>
        <w:t>La recourante demande que C______ démontre que la puissance émettrice de l'installation ne pourrait pas être augmentée à l'avenir et qu'elle respecterait ainsi les exigences en matière de contrôle à long terme du respect des valeurs limites. Elle demande également que C______ produise le détail de ses calculs du rayonnement dans les LUS, incluant sans toutefois s'y limiter les diagrammes y relatifs et les facteurs d'atténuation. Elle sollicite également la mise en œuvre d'une expertise judiciaire aux fins de vérifier l’exactitude des informations disponibles dans la fiche et afin de déterminer la distance exacte entre les antennes de la station H______ GE 3______ et celle de l'installation litigieuse dirigée vers cette station. Pierre DUBOCHET devait également être entendu en tant que témoin. Enfin, l'intervenante demande la production des calculs détaillés permettant de conclure aux intensités de champ électrique pour les LUS n os 2, 3, 4, 5 et 6.</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w:t>
      </w:r>
    </w:p>
    <w:p>
      <w:r>
        <w:rPr>
          <w:b/>
        </w:rPr>
        <w:t>E. 4.2</w:t>
      </w:r>
    </w:p>
    <w:p>
      <w:r>
        <w:t>En l'espèce, dans le cadre de la procédure, la recourante a produit une analyse de la « conformité ORNI/OFEV de la station de base » en question du 10 mai 2022, puis un « Avis d'expert sur les observations du 30 novembre 2022 de C______ » daté du 31 janvier 2023. Ces deux documents contiennent la prise de position de Pierre DUBOCHET sur le dossier. Ces éléments s'ajoutent aux différents échanges d'écritures des parties devant le TAPI et la chambre administrative accompagnés du dossier de l'autorité intimée et des différentes pièces produites, parmi lesquelles figurent des plans qui détaillent les lieux où sont/seront installées les antennes. En outre, il n’apparaît pas que les pièces dont la production est demandée seraient de nature à influencer l’issue du litige conformément aux considérants qui suivent. Ces éléments suffisent à la chambre administrative pour se prononcer sur les griefs soulevés et trancher le litige en toute connaissance de cause, sans qu'il ne soit nécessaire d'entendre Pierre DUBOCHET, d'ordonner la production de nouvelles pièces ou encore une expertise. En outre, le détail des calculs permettant de conclure aux intensités de champ électrique pour les LUS examinés figurent dans la fiche de données spécifique au site concernant les stations de base pour téléphonie mobile et raccordement sans fil datée du 5 octobre 2021. Il en est de même des diagrammes y relatifs. Enfin, sur la problématique de la démonstration par C______ du respect des exigences en matière de contrôle à long terme du respect des valeurs limites, force est de constater que l'objet du litige porte sur le bien-fondé de l’autorisation de construire délivrée par le département. Une telle conclusion étant exorbitante à celui-ci et portant sur des faits futurs, elle n’est pas recevable et devrait en tous les cas être rejetée conformément aux considérants qui suivent. Il ne sera par conséquent pas donné suite aux demandes d'instruction de la recourante et de l'intervenante.</w:t>
      </w:r>
    </w:p>
    <w:p>
      <w:r>
        <w:rPr>
          <w:b/>
        </w:rPr>
        <w:t>E. 5</w:t>
      </w:r>
    </w:p>
    <w:p>
      <w:r>
        <w:t>La recourante se plaint d’une violation de son droit d’être entendu et de la maxime d’office ( recte : inquisitoire) aux motifs que le TAPI n'aurait pas donné suite aux mesures d'instruction sollicitées et que l'expertise privée de Pierre DUBOCHET n'aurait fait l'objet d'aucun examen.</w:t>
      </w:r>
    </w:p>
    <w:p>
      <w:r>
        <w:rPr>
          <w:b/>
        </w:rPr>
        <w:t>E. 5.1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rPr>
          <w:b/>
        </w:rPr>
        <w:t>E. 5.2</w:t>
      </w:r>
    </w:p>
    <w:p>
      <w:r>
        <w:t>De jurisprudence constante, la réparation d’une violation du droit d’être entendu en instance de recours est possible lorsque l’autorité saisie dispose du même pouvoir d’examen que l’autorité précédente. Même si la réparation du droit d’être entendu doit rester l’exception, elle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ATA/541/2021 du 25 mai 2021 consid. 2d et les références citées).</w:t>
      </w:r>
    </w:p>
    <w:p>
      <w:r>
        <w:rPr>
          <w:b/>
        </w:rPr>
        <w:t>E. 5.3</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w:t>
      </w:r>
    </w:p>
    <w:p>
      <w:r>
        <w:rPr>
          <w:b/>
        </w:rPr>
        <w:t>E. 5.4</w:t>
      </w:r>
    </w:p>
    <w:p>
      <w:r>
        <w:t>La constatation des faits est, en procédure administrative, gouvernée par le principe de la libre appréciation des preuves (art. 20 al. 1 2 e phr.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ATA/957/2020 du 29 septembre 2020 consid. 3d et les références citées).</w:t>
      </w:r>
    </w:p>
    <w:p>
      <w:r>
        <w:rPr>
          <w:b/>
        </w:rPr>
        <w:t>E. 5.5</w:t>
      </w:r>
    </w:p>
    <w:p>
      <w:r>
        <w:t>En l'espèce, comme examiné supra ,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Or, c'est exactement ce qu'a retenu le TAPI dans son jugement pour écarter les demandes d'instruction sollicitées par la recourante et les intervenants. Par ailleurs et comme analysé ci-dessus, les mesures d'instruction requises n'apparaissent pas nécessaires compte tenu de l'ensemble des documents figurant au dossier. En outre, il ressort du considérant en question (consid. 22) que la juridiction inférieure a pris en considération l'expertise privée – laquelle ne constitue qu'un simple allégué d'une partie (ATF 141 IV 369 consid. 6.2 = JdT 2016 IV 160 et les références citées ; ATA/731/2022 du 12 juillet 2022 consid. 5) – dans le cadre de l'examen de la problématique. Il a toutefois retenu que son avis « ne saurait à lui seul rendre insoutenable l'appréciation des preuves opérée par l'instance spécialisée ». Il a également fait référence au préavis rendu par le SABRA lequel avait analysé la fiche de données spécifique au site et au fait que le département avait répondu au point soulevé par Pierre DUBOCHET concernant la proximité des antennes C______ et H______, relevant que la distance avait été calculée en fonction des bâtiments où étaient situées les antennes et non pas entre ces dernières, ce qui ressortait des plans à disposition du TAPI. Par ailleurs et comme analysé ci-dessus, les mesures d'instruction requises n'apparaissent pas nécessaires compte tenu de l'ensemble des documents figurant au dossier. En toute hypothèse, pour les raisons développées ci-après et compte tenu du fait que le TAPI et la chambre administrative disposent du même pouvoir d’examen portant sur les faits et le droit, à l’exclusion de l’opportunité (art. 61 al. 1 et 2 LPA), une éventuelle violation peut être réparée par la chambre de céans. Le grief est mal fondé.</w:t>
      </w:r>
    </w:p>
    <w:p>
      <w:r>
        <w:rPr>
          <w:b/>
        </w:rPr>
        <w:t>E. 6</w:t>
      </w:r>
    </w:p>
    <w:p>
      <w:r>
        <w:t>La recourante fait grief au TAPI d’avoir constaté les faits de façon inexacte, et commis un déni de justice. Le TAPI, tout comme le SABRA, n'aurait pas analysé la question de savoir si l'installation H______ GE 3______ se trouvait dans le périmètre de l'installation projetée au sens de l'art. 62 al. 2 à 4 annexe 1 ORNI. Les conclusions de l'expertise privée n'auraient de plus pas été examinées ni commentées par le TAPI. L'instance inférieure aurait par ailleurs retenu à tort que le SABRA avait conditionné son préavis à des mesures par l'exploitation de l'installation lors de la réception. Enfin, l'intervenante fait également référence à une pièce qu'elle avait produite à l'appui de son écriture du 10 novembre 2022, laquelle concerne la distance séparant les deux antennes, et qui n'aurait pas été examinée par le TAPI.</w:t>
      </w:r>
    </w:p>
    <w:p>
      <w:r>
        <w:rPr>
          <w:b/>
        </w:rPr>
        <w:t>E. 6.1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6.2</w:t>
      </w:r>
    </w:p>
    <w:p>
      <w:r>
        <w:t>En l'occurrence, contrairement à ce que soutient la recourante, le TAPI s'est positionné sur la question de la proximité entre l'installation H______ GE 3______ et celle projetée. Dans son consid. 22, le TAPI a d'abord retenu que « l'instance spécialisée a également répondu au point soulevé par M. DUBOCHET dans son analyse du 2 mai 2022 concernant la proximité des antennes C______ et H______, relevant que la distance calculée l'avait été en fonction des bâtiments où étaient situés les antennes et non pas entre ces dernières, ce qui ressort des plans à disposition du tribunal ». Puis, au consid. 71, les juges précédents ont retenu que « (…) s'il est vrai que les antennes litigieuses se trouvent dans le périmètre de l'installation H______ GE 3______, l'inverse n'est pas vrai. Dès lors, il ne peut être considéré que ces deux groupes d’antennes émettent dans des conditions de proximité spatiale et qu'elles doivent être considérées comme une seule installation (art. 62 al. 2 et 3 de l'annexe 1 ORNI) ». Le TAPI a donc expliqué sur quels faits il avait fondé sa décision. Ne pas retenir les allégations de l’expert privé ou encore celles de l'intervenante s'agissant de la distance séparant les deux antennes comme des faits établis ne relève pas d’un mauvais établissement des faits mais de l’appréciation des moyens de preuve offerts par les parties, qui sera examinée dans les considérants qui suivent. Il est toutefois exact que le TAPI a erré en retenant que le SABRA avait conditionné son préavis à des mesurages par l’exploitant de l’installation lors de la réception (consid. 71), ce que le préavis de l'instance spécialisée ne mentionne pas. Cela n'est toutefois pas décisif comme il le sera expliqué ci-dessous. Mal fondé, le grief sera écarté.</w:t>
      </w:r>
    </w:p>
    <w:p>
      <w:r>
        <w:rPr>
          <w:b/>
        </w:rPr>
        <w:t>E. 7</w:t>
      </w:r>
    </w:p>
    <w:p>
      <w:r>
        <w:t>La recourante et l'intervenante estiment que l'installation projetée et l'antenne H______ GE 3______ sur l'immeuble au ______, avenue E______doivent être considérés comme étant un groupe d'antennes au sens de l'art. 62 annexe 1 ORNI.</w:t>
      </w:r>
    </w:p>
    <w:p>
      <w:r>
        <w:rPr>
          <w:b/>
        </w:rPr>
        <w:t>E. 7.1</w:t>
      </w:r>
    </w:p>
    <w:p>
      <w:r>
        <w:t>Selon l'art. 61 let. a annexe 1 ORNI, les dispositions du présent chiffre (art. 62 à 65 annexe 1 ORNI) s’appliquent aux installations émettrices des réseaux de téléphonie mobile cellulaires et aux installations émettrices pour raccordements téléphoniques sans fil ; en sont exclues notamment les antennes de radiocommunication à faisceaux hertziens.</w:t>
      </w:r>
    </w:p>
    <w:p>
      <w:r>
        <w:rPr>
          <w:b/>
        </w:rPr>
        <w:t>E. 7.2</w:t>
      </w:r>
    </w:p>
    <w:p>
      <w:r>
        <w:t>Un groupe d’antennes comprend toutes les antennes émettrices fixées sur un mât ou sur le toit ou la façade d’un bâtiment (art. 62 al. 1 annexe 1 ORNI). Les groupes d’antennes émettant dans des conditions de proximité spatiale comptent comme une seule installation, indépendamment de l’ordre dans lequel ils sont construits ou modifiés (art. 62 al. 2 annexe 1 ORNI). Deux groupes d’antennes émettent dans des conditions de proximité spatiale lorsqu’au moins une antenne de chaque groupe se trouve dans le périmètre de l’autre groupe (art. 62 al. 3 annexe 1 ORNI). Selon l'art. 62 al. 4 annexe 1 ORNI, le périmètre d’un groupe d’antennes est une surface horizontale formée par les cercles de rayon r autour de chaque antenne du groupe d’antennes. La valeur du rayon r , exprimée en mètres, se calcule selon la formule suivante : L’explication des symboles de cette formule figure aux let. a et b de l'art. 62 al. 4 annexe 1 ORNI en ces termes : a. F : facteur de fréquence. Il vaut : 1. 2.63 pour les groupes d’antennes qui émettent exclusivement dans la gamme de fréquence autour de 900 MHz ou dans des gammes de fréquence plus basses ; 2. 1.76 pour les groupes d’antennes qui émettent exclusivement dans la gamme de fréquence autour de 1800 MHz ou dans des gammes de fréquence plus élevées ; 3. 2.10 pour tous les autres groupes d’antennes ; b. ERP 90 : ERP cumulée, exprimée en W, émise par les antennes d’un groupe d’antennes dans un secteur azimutal de 90° dans le mode d’exploitation déterminant ; le secteur azimutal déterminant est celui dans lequel est émise l’ERP cumulée la plus élevée.</w:t>
      </w:r>
    </w:p>
    <w:p>
      <w:r>
        <w:rPr>
          <w:b/>
        </w:rPr>
        <w:t>E. 7.3</w:t>
      </w:r>
    </w:p>
    <w:p>
      <w:r>
        <w:t>En l'espèce, le projet de construction porte sur l'installation d'un groupe de six antennes fixées sur trois mâts sur la superstructure du bâtiment sis à A______, ______, avenue E______. Il s’agit d’un groupe d’antennes (art. 62 al. 1 annexe 1 ORNI) conventionnelles qui doit être qualifié d’installation nouvelle au sens de l’art. 3 al. 2 let. c ORNI. Selon la fiche de données spécifique au site, le rayon du périmètre selon la formule précitée est de 61.51 m. Outre le fait qu'il ressort de l'analyse de Pierre DUBOCHET du 10 mai 2022 que ses considérations sont fondées sur la distance séparant les façades des immeubles ______ (sur lequel est projetée l'installation) et ______, avenue E______(sur lequel se trouve l'installation H______ GE 3______), alors que, selon les plans, les antennes précitées se trouvent au centre des toitures – ce qui fausse dès lors le calcul de la distance séparant réellement les antennes en question – , les plans produits par le département et C______ par-devant la chambre de céans démontrent que les calculs du géomètre sont également faussés. En effet, son calcul de 61.38 m (± 20 cm) a été effectué à partir d'une antenne de communication intersite, soit une antenne qui assure le lien avec les autres sites de H______ aux alentours. Il s'agit d'une antenne à faisceaux hertziens exclue du champ d'application des art. 62 à 65 annexe 1 ORNI (art. 61 let. a annexe 1 ORNI). Compte tenu de ces éléments, le fait que cette parabole soit éventuellement à une distance inférieure à 61.51 m n'est pas pertinent pour la question de l'examen d'un groupe d'antennes au sens de l'art. 62 annexe I ORNI. Au surplus, il ressort du préavis du SABRA du 1 er février 2022 que le cadastre des installations de téléphonie mobile mis à jour et répertoriant l'ensemble des installations existantes ou autorisées, montre que les antennes ne sont pas associées à un autre groupe d'antenne préalablement autorisé. Cela est conforme à l'art. 62 al. 2 annexe 1 ORNI, puisque le site H______ GE 3______ n'est pas inclus dans le périmètre du site C______ (d'un rayon de périmètre de 61.51 m), étant relevé que le Tribunal fédéral a retenu qu'il ne suffit pas qu'une seule antenne émettrice d'un groupe d'antennes se trouve dans le périmètre de l'autre groupe pour les considérer comme étant une seule installation au sens de l'ORNI. Le fait que cette installation se trouve à peine en dehors du périmètre de l'installation de téléphonie mobile prévue n'est pas pertinent (arrêt du Tribunal fédéral 1C_627/2019 du 6 octobre 2020 consid. 3.2). Enfin, dans la mesure où le géomètre de la recourante retient lui-même que la distance entre l'installation projetée et l'autre antenne examinée de H______ GE 3______ est de 62.78 m ± 20 cm, soit une distance supérieure à 61.51 m, force est de constater que le groupe d’antennes projeté n’est pas dans des conditions de proximité spatiale avec un autre groupe d’antennes. Le grief est mal fondé.</w:t>
      </w:r>
    </w:p>
    <w:p>
      <w:r>
        <w:rPr>
          <w:b/>
        </w:rPr>
        <w:t>E. 8</w:t>
      </w:r>
    </w:p>
    <w:p>
      <w:r>
        <w:t>La recourante soutient que la VLInst serait dépassée dans les LUS.</w:t>
      </w:r>
    </w:p>
    <w:p>
      <w:r>
        <w:rPr>
          <w:b/>
        </w:rPr>
        <w:t>E. 8.1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(ci‑après : VLE ; art. 12 al. 1 let. a LPE). Les limitations figurent dans des ordonnances ou, pour les cas que celles-ci n’ont pas visés, dans des décisions fondées directement sur la loi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w:t>
      </w:r>
    </w:p>
    <w:p>
      <w:r>
        <w:rPr>
          <w:b/>
        </w:rPr>
        <w:t>E. 8.2</w:t>
      </w:r>
    </w:p>
    <w:p>
      <w:r>
        <w:t>L’ORNI a pour but de protéger l’homme contre le rayonnement non ionisant nuisible ou incommodant (art. 1 ORNI). En application du principe de prévention posé à l'art. 11 al. 2 LPE et repris à l'art. 4 al. 1 ORNI, les installations concernées ne doivent pas dépasser les valeurs limites d'émission prescrites par l'annexe 1 de l'ordonnance dans les LUS (art. 15 annexe 1 ORNI).</w:t>
      </w:r>
    </w:p>
    <w:p>
      <w:r>
        <w:rPr>
          <w:b/>
        </w:rPr>
        <w:t>E. 8.3</w:t>
      </w:r>
    </w:p>
    <w:p>
      <w:r>
        <w:t>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 2023 consid. 7.2 ; OFEV, LUS, dernière modification le 27 juin 2024, https:// www.bafu.admin.ch/bafu/fr/home/themes/ electrosmog/info‑specialistes/ mesures-contre-l-electrosmog/lieux-a-utilisation-sensible--lus-html, consulté le 24 juillet 2024). Les cages d'escaliers, les cabinets de débarras, caves, combles et autres pièces de service qui ne sont pas qualifiées pour un séjour à long terme de personne, les terrasses panoramiques, les balcons et les terrasses en attique ne sont pas considérés comme des LUS (ATF 128 II 378 ; OFEV, LUS, dernière modification le 27 juin 2024, https://www.bafu.admin.ch/bafu/fr/home/themes/electrosmog/info‑specialistes/mesures-contre-l-electrosmog/lieux-a-utilisation-sensible-lus--html, consulté le 24 juillet 2023). Dans les LUS, les installations de radiocommunication mobile doivent toujours respecter la VLInst d'une installation donnée (ATF 128 II 378 consid. 6.2.2 ; arrêt du Tribunal fédéral 1C_627/2019 précité consid. 3.1). La distance n’est pas le seul facteur pour déterminer un LUS. L’émission peut‑être plus élevée à un endroit pourtant plus éloigné ( ATA/622/2024 du 21 mai 2024 consid. 7.7.1)</w:t>
      </w:r>
    </w:p>
    <w:p>
      <w:r>
        <w:rPr>
          <w:b/>
        </w:rPr>
        <w:t>E. 8.4</w:t>
      </w:r>
    </w:p>
    <w:p>
      <w:r>
        <w:t>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art. 64 annexe 1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précité consid. 3.1). En fixant les VLInst, le Conseil fédéral a créé une marge de sécurité par rapport aux dangers avérés pour la santé (ATF 128 II 378 consid. 6.2.2 ; arrêt du Tribunal fédéral 1C_627/2019 précité consid. 3.1).</w:t>
      </w:r>
    </w:p>
    <w:p>
      <w:r>
        <w:rPr>
          <w:b/>
        </w:rPr>
        <w:t>E. 8.5</w:t>
      </w:r>
    </w:p>
    <w:p>
      <w:r>
        <w:t>L’art. 4 ORNI traite, avec l’annexe 1 ORNI, de la limitation préventive des émissions. Les installations doivent être construites et exploitées de telle façon que les limitations préventives des émissions définies à l’annexe 1 ne soient pas dépassées (art. 4 al. 1 ORNI). L’art. 13 ORNI dispose que les valeurs limites d’immissions au sens de l’annexe 2 doivent être respectées partout où des personnes peuvent séjourner (al. 1). Elles ne sont valables que pour le rayonnement qui agit de manière uniforme sur l’ensemble du corps humain (art. 13 al. 2 ORNI). Selon l’art. 14 ORNI, l’autorité détermine les immissions lorsqu’il y a des raisons d’admettre qu'elles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w:t>
      </w:r>
    </w:p>
    <w:p>
      <w:r>
        <w:rPr>
          <w:b/>
        </w:rPr>
        <w:t>E. 8.6</w:t>
      </w:r>
    </w:p>
    <w:p>
      <w:r>
        <w:t>En matière d’émissions, la section 4 intitulée « collaboration et contrôle » du chapitre 2 de l’ORNI prévoit diverses obligations à la charge du détenteur de l’installation (art. 10 ss ORNI) et règle le contrôle du respect des limitations des émissions (art. 12 ORNI).</w:t>
      </w:r>
    </w:p>
    <w:p>
      <w:r>
        <w:rPr>
          <w:b/>
        </w:rPr>
        <w:t>E. 8.7</w:t>
      </w:r>
    </w:p>
    <w:p>
      <w:r>
        <w:t>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(art. 11 al. 1 1 ère phr.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w:t>
      </w:r>
    </w:p>
    <w:p>
      <w:r>
        <w:rPr>
          <w:b/>
        </w:rPr>
        <w:t>E. 8.8</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Les données correspondantes servent de base pour le permis de construire et sont contraignantes pour l'opérateur (arrêt du Tribunal fédéral 1A.264/2000 du 24 septembre 2002 consid. 8.1 non publié aux ATF 128 II 378 ).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 à 4.6 = RDAF 2009 I 536 ). En effet, c'est pour prendre en compte cette incertitude que des mesures de réception doivent être effectuées après la mise en service de l'installation si, selon la prévision calculée, 80 % de la valeur limite de l'installation est atteinte à un LUS (complément ch. 2.1.8 ; arrêt du Tribunal fédéral 1A.148/2002 du 12 août 2003 consid. 4.3.1 s.). Si, sur la base de ces mesures, il apparaît que la valeur limite de l'installation est dépassée lors du fonctionnement, la puissance d'émission maximale admissible doit être redéfinie et le respect des valeurs prescrites doit être démontré par des mesures supplémentaires (arrêt du Tribunal fédéral 1C_681/2017 du 1 er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(ATF 130 II 32 consid. 2.4).</w:t>
      </w:r>
    </w:p>
    <w:p>
      <w:r>
        <w:rPr>
          <w:b/>
        </w:rPr>
        <w:t>E. 8.9</w:t>
      </w:r>
    </w:p>
    <w:p>
      <w:r>
        <w:t>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w:t>
      </w:r>
    </w:p>
    <w:p>
      <w:r>
        <w:rPr>
          <w:b/>
        </w:rPr>
        <w:t>E. 8.10</w:t>
      </w:r>
    </w:p>
    <w:p>
      <w:r>
        <w:t>La Confédération surveille l’application de la LPE (art. 38 al. 1 LPE). Elle coordonne les mesures d’exécution des cantons ainsi que celles de ses propres établissements et exploitations (art. 38 al. 2 LPE). Conformément aux art. 38 al. 3 LPE et 12 al. 2 2 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w:t>
      </w:r>
    </w:p>
    <w:p>
      <w:r>
        <w:rPr>
          <w:b/>
        </w:rPr>
        <w:t>E. 8.11</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w:t>
      </w:r>
    </w:p>
    <w:p>
      <w:r>
        <w:rPr>
          <w:b/>
        </w:rPr>
        <w:t>E. 8.12</w:t>
      </w:r>
    </w:p>
    <w:p>
      <w:r>
        <w:t>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 ibid ., p. 24s). Différentes notions techniques sont définies dans cette directive fédérale. Il en va ainsi par exemple du mode d’exploitation déterminant ou de la direction (horizontale et verticale) d’émission des antennes pouvant impliquer l’autorisation d’un domaine angulaire pour chacune des deux directions ( ibid ., p. 18). Les caractéristiques émettrices des antennes sont décrites par le diagramme d’antenne qui fournit des renseignements quantitatifs sur l’effet directionnel d’une antenne (intensité du rayonnement en fonction de l’angle par rapport à la direction principale de propagation), étant précisé qu’il existe généralement un diagramme pour le plan horizontal et un autre pour le plan vertical ( ibid ., p. 24). La direction principale de propagation (azimut) se définit par rapport au nord et représente un angle croissant dans le sens des aiguilles d’une montre : 0° pour le N, 90° pour E, 180° pour S et 270° pour O ; on indique un angle clairement défini (en °) ou un domaine angulaire (de …° à …° ; ibid ., p. 34). L’intensité de champ électrique (en V/m) dû à l’antenne n, [En], au lieu de séjour considéré, est calculée suivant une formule précisée dans la recommandation ( ibid ., p. 25 et 40). Cette formule intègre les paramètres suivants : la distance directe entre le lieu considéré et l’antenne n (en m), la puissance émettrice requise pour l’antenne n (ERPn, en W), l’atténuation directionnelle (coefficient d’atténuation) et l’amortissement par les bâtiments (coefficient d’amortissement). Ensuite, on calcule l’intensité de champ électrique due à l’installation en un lieu donné (Einstallation), en additionnant les contributions individuelles selon une autre formule indiquée dans la recommandation ( ibid ., p. 25 ss et p. 40).</w:t>
      </w:r>
    </w:p>
    <w:p>
      <w:r>
        <w:rPr>
          <w:b/>
        </w:rPr>
        <w:t>E. 8.13</w:t>
      </w:r>
    </w:p>
    <w:p>
      <w:r>
        <w:t>Cette procédure de contrôle, en particulier au stade du calcul de la prévision, repose sur un élément clé, à savoir la fiche de données spécifique au site. Il s’agit, conformément à l’art. 11 ORNI, du moyen par lequel l’entreprise responsable de l’installation projetée communique à l’autorité compétente les données techniques de celle-ci et la quantité de rayonnement attendue dans son environnement.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 ibid , p. 9). La Recommandation OFEFP 2002 contient les instructions sur la manière de remplir la fiche de données spécifique au site.</w:t>
      </w:r>
    </w:p>
    <w:p>
      <w:r>
        <w:rPr>
          <w:b/>
        </w:rPr>
        <w:t>E. 8.14</w:t>
      </w:r>
    </w:p>
    <w:p>
      <w:r>
        <w:t>L’annexe 1 de l’ORNI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Les installations (nouvelles ou anciennes) ne doivent pas dépasser la VLInst dans les LUS dans le mode d’exploitation déterminant (art. 65 annexe 1 ORNI). Cela suppose d’identifier trois éléments : la VLInst, les LUS définis plus haut et le mode d’exploitation déterminant.</w:t>
      </w:r>
    </w:p>
    <w:p>
      <w:r>
        <w:rPr>
          <w:b/>
        </w:rPr>
        <w:t>E. 8.15</w:t>
      </w:r>
    </w:p>
    <w:p>
      <w:r>
        <w:t>Selon l'art. 64 annexe 1 ORNI, la valeur limite de l’installation pour la valeur efficace de l’intensité de champ électrique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 Les valeurs limites d'immission et d'installation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la Commission internationale de protection contre les rayonnements non ionisants ( ATA/434/2024 du 26 mars 2024 consid. 5.2 ; Joel DRITTENBASS, Risk-Based Approach als Konkretisierungsvariante des umweltschutzrechtlichen Vorsorgeprinzips : Angewendet am neuen5G-Mobilfunkstandard, DEP 2021-2 p. 138). L'étendue de la limitation préventive des émissions selon l'art. 4 al. 1 ORNI est déterminée de manière exhaustive avec la fixation des valeurs limites d'installation, raison pour laquelle les autorités appliquant la loi ne peuvent pas exiger une limitation supplémentaire dans des cas individuels sur la base de l'art. 12 al. 2 LPE (ATF 133 II 64 consid. 5.2 ; 126 II 399 consid. 3 ; arrêt du Tribunal fédéral 1A_251/2002 du 24 octobre 2003 consid. 4).</w:t>
      </w:r>
    </w:p>
    <w:p>
      <w:r>
        <w:rPr>
          <w:b/>
        </w:rPr>
        <w:t>E. 8.16</w:t>
      </w:r>
    </w:p>
    <w:p>
      <w:r>
        <w:t>Par mode d’exploitation déterminant, on entend le mode d’exploitation dans lequel un maximum de conversations et de données est transféré, l’émetteur étant au maximum de sa puissance (art. 63 al. 1 annexe 1 ORNI).</w:t>
      </w:r>
    </w:p>
    <w:p>
      <w:r>
        <w:rPr>
          <w:b/>
        </w:rPr>
        <w:t>E. 8.17</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ATA/1346/2023 du 12 décembre 2023 consid. 4.2 et les références citées). Selon une jurisprudence bien établie, chaque fois que l'autorité administrative suit les préavis des instances consultatives, l'autorité de recours observe une certaine retenue, fonction de son aptitude à trancher le litige ( ATA/70/2024 du 23 janvier 2024 consid. 4.2 et l'arrêt cité).</w:t>
      </w:r>
    </w:p>
    <w:p>
      <w:r>
        <w:rPr>
          <w:b/>
        </w:rPr>
        <w:t>E. 8.18</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8.19</w:t>
      </w:r>
    </w:p>
    <w:p>
      <w:r>
        <w:t>En l'espèce, il n'est pas contesté que le groupe d'antennes de l'installation projetée est soumis à une émission maximale de 5 V/m (art. 64 let. c annexe I ORNI), comme le prévoit du reste la fiche de données spécifique au site fournie dans le cadre de l'autorisation querellée. Il ressort de cette fiche que l'intensité de champ électrique dans le LUS n os 2 et 6, se trouvant aux derniers étages des immeubles 37 et 31, avenue E______ sont de 3.88 V/m et 3.94 V/m. Il s'agit des emplacements les plus exposés toujours selon ladite fiche. Il n'y a pas lieu de remettre en cause ces valeurs, le SABRA, dont le préavis est important, puisqu'il est le service spécialisé en matière de protection contre les rayonnements non ionisants (art. 4 al. 1 du règlement sur la protection contre le bruit et les vibrations du 12 février 2003 - RPBV - K 1 70.10), ayant délivré un préavis favorable (sous conditions) après examen de ladite fiche et surtout après avoir vérifié les calculs effectués par l'opérateur. Ces derniers étaient d'ailleurs contestés par la recourante uniquement sous l'angle de la prise en considération de l'installation de H______ GE 3______ dans le calcul de la V/m. Or, comme il a été retenu supra , l'installation de H______ GE 3______ n'a pas à être prise en compte dans le cadre de cet examen. Il en découle que le calcul prévisionnel de l'intensité du champ électrique pour les LUS n os 2 et 6 a donc été établi de manière conforme au droit et respectent la VLInst de l’art. 64 let. c annexe 1 ORNI. Pour le LUS n° 7 qui ressort uniquement de l'expertise privée du 10 mai 2022, force est de constater qu'il a été calculé en partant de la prémisse erronée que l'installation de H______ GE 3______ devait être prise en considération. De plus, en toute hypothèse, la V/m serait de 4.89 V/m soit un calcul prévisionnel de l'intensité du champ électrique inférieur à la valeur limite de 5 V/m imposée par l'art. 64 let. c annexe I ORNI. Compte tenu du contrôle effectué par le SABRA, autorité spécialisée en la matière réputée capable d'émettre un avis dépourvu de subjectivité et de considérations étrangères aux buts de protection de la loi ainsi que de la retenue certaine que la chambre de céans s’impose lorsque, comme en l’espèce, les normes juridiques font appel à des connaissances spécialisées ou particulières en matière de protection de l'environnement, le calcul effectué par l'opérateur – validé par l'instance spécialisée – doit être confirmé. Dans ce contexte et au vu de ces éléments, les conclusions du préavis du SABRA quant au respect des VLI et de la VLInst ne sont pas critiquables et permettent de procéder au calcul de la prévision conformément aux directives précitées de l’OFEV. Elles doivent ainsi être confirmées. En particulier, c’est à raison que le SABRA a estimé que la VLInst était respectée. De plus, dans la mesure les valeurs calculées pour les LUS ne dépassent pas le 80% de la VLInst qui est in casu de 5 V/m, c’est-à‑dire qu’elles sont inférieures à 4 V/m (80% de 5 V/m), des mesurages aux frais de l'opérateur à effectuer, lors de la réception, ne sont pas nécessaires (Recommandation OFEFP 2002, p. 20). Le préavis intègre toutefois, à raison, la condition posée par le SABRA, selon laquelle les parties de la superstructure accessible pour l’entretien où la VLI est épuisée, doivent être dûment protégées. Au surplus, la jurisprudence récente a encore relevé que des incertitudes et imprécisions sont inhérentes aux calculs des valeurs prévisionnelles de rayonnement. Cela ne signifie pas qu'il sera toléré que le rayonnement effectif, une fois les antennes en fonction, dépasse les valeurs limites prescrites. Mais en amont de la réalisation de l'installation, les valeurs prévisionnelles calculées conformément à la méthode prescrite dans les directives fédérales, font foi en dépit de l'importante marge d'incertitude qui les accompagne (arrêt du Tribunal fédéral 1C_518/2018 du 14 avril 2020 consid. 7.2.2). Par ailleurs, dans son préavis, le SABRA a posé comme autres conditions l’intégration des antennes de cette installation dans le système d’assurance qualité qui permet de surveiller les données d’exploitation. Ce faisant, l’autorité intimée a posé une cautèle permettant d’assurer le respect des valeurs limites. Dans des arrêts plus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24 juillet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d'assurance qualité (arrêts 1C_45/2023 du 16 janvier 2024 consid. 6.3 ; 1C_481/2022 du 13 novembre 2023 consid. 4.6 avec renvois). Le 2 avril 2024, l'OFEV a rendu un rapport intitulé le « Système d’assurance de la qualité pour les installations de téléphonie mobile : projet pilote relatif aux contrôles sur site 2022 », consultable à l'adresse https://www.bafu.admin.ch/bafu/ fr/home/themes/electrosmog/info-specialistes/mesures-contre-l-electrosmog/ assurance-de-la-qualite-en-ce-qui-concerne-le-respect-des-valeur.html #17153208828, visité le 24 juillet 2024. Il en ressort que le transfert des données autorisées vers le système d'assurance qualité fonctionne de manière générale correctement. La vérification des paramètres structurels des 76 installations a permis de constater que 37% d'entre elles présentent des écarts au-delà des tolérances. Les écarts les plus fréquents concernent l’azimut et la hauteur d’antenne autorisés. Pour les installations présentant des écarts au-delà des tolérances, il a fallu procéder à une nouvelle évaluation du rayon non ionisant (calcul fondé sur la fiche de données spécifique au site) afin de déterminer la variation de l’exposition des LUS par rapport à l’état autorisé. Ces calculs ont montré que, du fait des défauts constatés, l’exposition est plus importante dans 32% des LUS, moins importante dans 29% des LUS et identique dans 39% des LUS. Ces écarts n’ont entraîné aucun dépassement des valeurs limites de l’installation de l’ORNI. Une augmentation de l'intensité du champ électrique dans les LUS a généralement été observée lorsque les antennes ont été installées trop bas ou avec une mauvaise orientation (azimut). L'augmentation de l'intensité du champ électrique a été, dans la plupart des cas, de 0.1 V/m ou moins. Seulement dans quelques cas isolés, une augmentation de 0.3 V/m à 0.6 V/m a été constatée. Le fait qu’un écart entraîne une augmentation de l’exposition dépend en particulier de l’emplacement des LUS et de la distance entre les LUS et les antennes. Globalement, les résultats du projet pilote confirment l’importance de contrôler les paramètres structurels des installations de téléphonie mobile. Inclure des contrôles sur site dans l’assurance de la qualité est d’une importance cruciale pour s’assurer que les stations émettrices sont construites et exploitées conformément à l’autorisation octroyée et que les valeurs limites de l’ORNI sont respectées à tout moment. Dans son préavis, le SABRA a justement posé comme autres conditions l’intégration des antennes de cette installation dans le système d’assurance qualité qui permet de surveiller les données d’exploitation. Ce faisant, comme vu ci-dessus, l’autorité intimée a posé une cautèle permettant d’assurer le respect des valeurs limites. Il ressort ainsi de ces éléments qu'il n'y a pas lieu, en l'état, de douter de manière générale de la fiabilité des systèmes d'assurance qualité, y compris pour les antennes adaptatives, ni de nier leur fonctionnement. Le Tribunal fédéral a déjà eu l'occasion de le confirmer et les informations les plus récentes issues de l'OFEV démontrent que ce système fonctionne de manière générale correctement. Il n'y a donc pas lieu d'y revenir. Les griefs seront écartés.</w:t>
      </w:r>
    </w:p>
    <w:p>
      <w:r>
        <w:rPr>
          <w:b/>
        </w:rPr>
        <w:t>E. 9</w:t>
      </w:r>
    </w:p>
    <w:p>
      <w:r>
        <w:t>La recourante estime que l'art. 62 annexe I ORNI est contraire au droit supérieur. Dans l'hypothèse où le cumul des rayonnements issus des antennes avoisinantes ne serait pas calculé ni reporté dans la fiche de données spécifique au site mais conduiraient à des dépassements des valeurs limites pertinentes, il n'existerait aucun moyen de contrôler ces rayonnements mettant ainsi en danger la vie d'êtres humains.</w:t>
      </w:r>
    </w:p>
    <w:p>
      <w:r>
        <w:rPr>
          <w:b/>
        </w:rPr>
        <w:t>E. 9.1</w:t>
      </w:r>
    </w:p>
    <w:p>
      <w:r>
        <w:t>Les valeurs limites de l'installation ont été fixées par le Conseil fédéral pour concrétiser le principe de précaution, sans lien direct avec des mises en danger avérées de la santé selon l'art. 11 al. 2 LPE, en fonction des critères de la possibilité technique et d'exploitation ainsi que de la viabilité économique, afin de réduire au maximum le risque d'effets nocifs, dont certains ne sont que supposés et pas encore prévisibles (ATF 126 II 399 consid. 3b avec références). Le Conseil fédéral a ainsi créé une marge de sécurité en ce qui concerne les dangers avérés pour la santé (arrêts du Tribunal fédéral 1C_627/2019 précité consid. 3.1 ; 1C_118/2010 du 20 octobre 2010 consid. 4.2.3). Comme chaque installation de téléphonie mobile peut épuiser la valeur limite de l'installation dans les LUS (art. 3 al. 3 et 6, ORNI ; art. 64 et 65 annexe 1 ORNI), il peut arriver, dans certains cas, que le rayonnement de deux ou plusieurs installations se cumule à de tels endroits, ce qui fait que l'intensité de champ électrique y dépasse la valeur limite de l'installation. Un tel cumul est toutefois limité par le fait que, selon l'art. 62 al. 2 annexe 1 ORNI, les groupes d'antennes émettant à partir d'un lieu étroitement lié sont considérés comme une seule installation, quel que soit l'ordre dans lequel ils sont construits ou modifiés (arrêt du Tribunal fédéral 1C_118/2010 du 20 octobre 2010 consid. 4.2.3 avec renvois). Comme déjà vu, deux groupes d’antennes émettent dans des conditions de proximité spatiale lorsqu’au moins une antenne de chaque groupe se trouve dans le périmètre de l’autre groupe (art. 62 al. 3 annexe I ORNI).</w:t>
      </w:r>
    </w:p>
    <w:p>
      <w:r>
        <w:rPr>
          <w:b/>
        </w:rPr>
        <w:t>E. 9.2</w:t>
      </w:r>
    </w:p>
    <w:p>
      <w:r>
        <w:t>La notion d'une seule installation au sens de l'art. 62 annexe 1 ORNI a été définie par une modification d'ordonnance du 1 er juillet 2009 (RO 2009 3565), par laquelle le Conseil fédéral a élargi jusqu'à 50% le périmètre potentiel d'une antenne par rapport à l'ancien droit d'ordonnance. Ce faisant, il a emprunté une voie médiane entre l'approche ponctuelle, selon laquelle chaque antenne de téléphonie mobile constitue une installation, et une approche globale, qui considère toutes les antennes d'un opérateur ou de plusieurs opérateurs comme une seule installation, afin d'éviter, d'une part, un cumul incontrôlé du rayonnement de nombreuses antennes dans un seul LUS et, d'autre part, de ne pas entraver de manière disproportionnée l'installation de nouvelles stations de base dans un périmètre proche d'installations existantes (arrêt du Tribunal fédéral 1C_576/2016 du 27 octobre 2017 consid. 3.6.2 et 3.6.3 avec renvois). Conformément à cet objectif, les groupes d'antennes qui ne se trouvent que peu ou juste en dehors du rayon du périmètre d'un groupe d'installations calculé selon l'art. 62 al. 4 annexe 1 ORNI, ne doivent pas non plus être qualifiés d'une seule installation, même si la valeur limite de l'installation applicable à une installation ou à un groupe d'installations est ainsi dépassée dans certains LUS. Cela correspond à la volonté manifeste de l'auteur de l'ordonnance (arrêt du Tribunal fédéral 1C_627/2019 précité consid. 3.4).</w:t>
      </w:r>
    </w:p>
    <w:p>
      <w:r>
        <w:rPr>
          <w:b/>
        </w:rPr>
        <w:t>E. 9.3</w:t>
      </w:r>
    </w:p>
    <w:p>
      <w:r>
        <w:t>En l'occurrence, comme déjà retenu ci-dessus, le groupe d'antennes de l'installation H______ GE 3______ n'est pas inclus dans le périmètre du site de C______. Ainsi que l'a relevé le Tribunal fédéral, il ne suffit pas qu'une seule antenne émettrice d'un groupe d'antennes se trouve dans le périmètre de l'autre groupe pour les considérer comme étant une seule installation au sens de l'ORNI (arrêt du Tribunal fédéral 1C_627/2019 précité consid. 3.2). En outre, en formulant le grief de la contrariété au droit supérieur, la recourante ne tient pas compte du fait que la valeur limite de l'installation applicable à une installation ou à un groupe d'installations a été fixée par le Conseil fédéral, afin de respecter le principe de précaution, à un niveau nettement inférieur à celui des valeurs limites d'immissions servant à la protection de la santé (arrêt du Tribunal fédéral 1C_627/2019 précité consid. 3.1) En toute hypothèse, le Tribunal fédéral a plusieurs fois expliqué que, selon les indications de l'OFEV, il faut partir du principe que l'irradiation d'un LUS par plusieurs installations pouvant être qualifiées d'autonomes ne conduit pas simplement à une addition des intensités de champ. Si deux installations utilisaient la valeur limite de l'installation à laquelle elles ont droit pour un LUS, il en résulterait une intensité de champ électrique cumulée de 141% de la valeur limite de l'installation ; pour trois installations, ce serait au maximum 173%. La valeur VLI ne serait atteinte que dans la situation pratiquement impossible où 100 installations de téléphonie mobile irradieraient le LUS concerné à hauteur de la VLInst (arrêts du Tribunal fédéral 1C_296/2022 du 7 juin 2023 consid. 2.6 ; 1C_693/2021 du 3 mai 2023 consid. 5.3 ; 1C_627/2019 précité consid. 4.3 ; 1C_118/2010 du 20 octobre 2010 consid. 4.2, publié dans : URP 2010 p. 871 ss). Par conséquent, l'autorisation de cumuler les rayonnements de plusieurs installations qui n'émettent pas à partir d'un lien spatial étroit a pour seul effet de réduire la marge de sécurité par rapport à la VLI, ce qui permet de préserver la protection de la santé dans son ensemble (arrêt du Tribunal fédéral 1C_576/2016 précité consid. 3.6.3 et 3.6.4). Cela est donc conforme au droit fédéral, notamment la LPE. Le grief est mal fondé. Par conséquent, en confirmant l’autorisation querellée sur la base du préavis du SABRA faute d’éléments contraires, le TAPI n’a pas violé l’ORNI. Les griefs tirés de la violation des art. 1 LPE, 11 al. 2 let. c ORNI, 62 annexe I ORNI, 64 let. c annexe I ORNI et de la LCI doivent donc être écartés. Entièrement mal fondé, le recours doit ainsi être rejeté.</w:t>
      </w:r>
    </w:p>
    <w:p>
      <w:r>
        <w:rPr>
          <w:b/>
        </w:rPr>
        <w:t>E. 10</w:t>
      </w:r>
    </w:p>
    <w:p>
      <w:r>
        <w:t>Vu l’issue du litige, un émolument de CHF 1'000.- sera mis à la charge de la recourante et de l'intervenante, laquelle avait fait siennes les conclusions de la recourante, pris solidairement (art. 87 al. 1 LPA). Une indemnité de procédure de CHF 1'000.- sera allouée à C______, à la charge solidaire de la recourante et de l'intervenante (art. 87 al. 2 LPA), étant précisé que D______ SÀRL ne s'est pas déterminée dans la procédure par-devant la chambre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